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CF" w:rsidRPr="00A339FD" w:rsidRDefault="008737CF" w:rsidP="008737C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A339FD">
        <w:rPr>
          <w:rFonts w:ascii="Arial" w:hAnsi="Arial" w:cs="Arial"/>
          <w:b/>
        </w:rPr>
        <w:t xml:space="preserve">10-year results of the International Breast </w:t>
      </w:r>
      <w:proofErr w:type="gramStart"/>
      <w:r w:rsidRPr="00A339FD">
        <w:rPr>
          <w:rFonts w:ascii="Arial" w:hAnsi="Arial" w:cs="Arial"/>
          <w:b/>
        </w:rPr>
        <w:t>cancer</w:t>
      </w:r>
      <w:proofErr w:type="gramEnd"/>
      <w:r w:rsidRPr="00A339FD">
        <w:rPr>
          <w:rFonts w:ascii="Arial" w:hAnsi="Arial" w:cs="Arial"/>
          <w:b/>
        </w:rPr>
        <w:t xml:space="preserve"> Intervention Study II (IBIS-II</w:t>
      </w:r>
      <w:r w:rsidR="007767AC" w:rsidRPr="00A339FD">
        <w:rPr>
          <w:rFonts w:ascii="Arial" w:hAnsi="Arial" w:cs="Arial"/>
          <w:b/>
        </w:rPr>
        <w:t>)</w:t>
      </w:r>
    </w:p>
    <w:p w:rsidR="008737CF" w:rsidRPr="00A339FD" w:rsidRDefault="008737CF" w:rsidP="008737CF">
      <w:pPr>
        <w:spacing w:line="360" w:lineRule="auto"/>
        <w:jc w:val="both"/>
        <w:rPr>
          <w:rFonts w:ascii="Arial" w:eastAsia="Times New Roman" w:hAnsi="Arial" w:cs="Arial"/>
          <w:vertAlign w:val="superscript"/>
        </w:rPr>
      </w:pPr>
    </w:p>
    <w:p w:rsidR="003A4FB4" w:rsidRPr="00A339FD" w:rsidRDefault="003A4FB4" w:rsidP="008737CF">
      <w:pPr>
        <w:spacing w:line="360" w:lineRule="auto"/>
        <w:jc w:val="both"/>
        <w:rPr>
          <w:rFonts w:ascii="Arial" w:eastAsia="Times New Roman" w:hAnsi="Arial" w:cs="Arial"/>
        </w:rPr>
      </w:pPr>
      <w:r w:rsidRPr="00A339FD">
        <w:rPr>
          <w:rFonts w:ascii="Arial" w:eastAsia="Times New Roman" w:hAnsi="Arial" w:cs="Arial"/>
        </w:rPr>
        <w:t>Jack Cuzick, Ivana Sestak, John F Forbes, Mitch</w:t>
      </w:r>
      <w:r w:rsidR="00333A02" w:rsidRPr="00A339FD">
        <w:rPr>
          <w:rFonts w:ascii="Arial" w:eastAsia="Times New Roman" w:hAnsi="Arial" w:cs="Arial"/>
        </w:rPr>
        <w:t>ell</w:t>
      </w:r>
      <w:r w:rsidRPr="00A339FD">
        <w:rPr>
          <w:rFonts w:ascii="Arial" w:eastAsia="Times New Roman" w:hAnsi="Arial" w:cs="Arial"/>
        </w:rPr>
        <w:t xml:space="preserve"> Dowsett, Simon </w:t>
      </w:r>
      <w:proofErr w:type="spellStart"/>
      <w:r w:rsidRPr="00A339FD">
        <w:rPr>
          <w:rFonts w:ascii="Arial" w:eastAsia="Times New Roman" w:hAnsi="Arial" w:cs="Arial"/>
        </w:rPr>
        <w:t>Cawthorn</w:t>
      </w:r>
      <w:proofErr w:type="spellEnd"/>
      <w:r w:rsidRPr="00A339FD">
        <w:rPr>
          <w:rFonts w:ascii="Arial" w:eastAsia="Times New Roman" w:hAnsi="Arial" w:cs="Arial"/>
        </w:rPr>
        <w:t xml:space="preserve">, Robert E </w:t>
      </w:r>
      <w:proofErr w:type="spellStart"/>
      <w:r w:rsidRPr="00A339FD">
        <w:rPr>
          <w:rFonts w:ascii="Arial" w:eastAsia="Times New Roman" w:hAnsi="Arial" w:cs="Arial"/>
        </w:rPr>
        <w:t>Ma</w:t>
      </w:r>
      <w:r w:rsidR="004B1B45" w:rsidRPr="00A339FD">
        <w:rPr>
          <w:rFonts w:ascii="Arial" w:eastAsia="Times New Roman" w:hAnsi="Arial" w:cs="Arial"/>
        </w:rPr>
        <w:t>nsel</w:t>
      </w:r>
      <w:proofErr w:type="spellEnd"/>
      <w:r w:rsidR="004B1B45" w:rsidRPr="00A339FD">
        <w:rPr>
          <w:rFonts w:ascii="Arial" w:eastAsia="Times New Roman" w:hAnsi="Arial" w:cs="Arial"/>
        </w:rPr>
        <w:t xml:space="preserve">, </w:t>
      </w:r>
      <w:proofErr w:type="spellStart"/>
      <w:r w:rsidR="004F0110" w:rsidRPr="00A339FD">
        <w:rPr>
          <w:rFonts w:ascii="Arial" w:eastAsia="Times New Roman" w:hAnsi="Arial" w:cs="Arial"/>
        </w:rPr>
        <w:t>Siby</w:t>
      </w:r>
      <w:r w:rsidR="004B1B45" w:rsidRPr="00A339FD">
        <w:rPr>
          <w:rFonts w:ascii="Arial" w:eastAsia="Times New Roman" w:hAnsi="Arial" w:cs="Arial"/>
        </w:rPr>
        <w:t>lle</w:t>
      </w:r>
      <w:proofErr w:type="spellEnd"/>
      <w:r w:rsidR="004B1B45" w:rsidRPr="00A339FD">
        <w:rPr>
          <w:rFonts w:ascii="Arial" w:eastAsia="Times New Roman" w:hAnsi="Arial" w:cs="Arial"/>
        </w:rPr>
        <w:t xml:space="preserve"> </w:t>
      </w:r>
      <w:proofErr w:type="spellStart"/>
      <w:r w:rsidR="004B1B45" w:rsidRPr="00A339FD">
        <w:rPr>
          <w:rFonts w:ascii="Arial" w:eastAsia="Times New Roman" w:hAnsi="Arial" w:cs="Arial"/>
        </w:rPr>
        <w:t>Loibl</w:t>
      </w:r>
      <w:proofErr w:type="spellEnd"/>
      <w:r w:rsidR="004B1B45" w:rsidRPr="00A339FD">
        <w:rPr>
          <w:rFonts w:ascii="Arial" w:eastAsia="Times New Roman" w:hAnsi="Arial" w:cs="Arial"/>
        </w:rPr>
        <w:t>, Bern</w:t>
      </w:r>
      <w:r w:rsidRPr="00A339FD">
        <w:rPr>
          <w:rFonts w:ascii="Arial" w:eastAsia="Times New Roman" w:hAnsi="Arial" w:cs="Arial"/>
        </w:rPr>
        <w:t xml:space="preserve">ardo </w:t>
      </w:r>
      <w:proofErr w:type="spellStart"/>
      <w:r w:rsidRPr="00A339FD">
        <w:rPr>
          <w:rFonts w:ascii="Arial" w:eastAsia="Times New Roman" w:hAnsi="Arial" w:cs="Arial"/>
        </w:rPr>
        <w:t>Bonanni</w:t>
      </w:r>
      <w:proofErr w:type="spellEnd"/>
      <w:r w:rsidRPr="00A339FD">
        <w:rPr>
          <w:rFonts w:ascii="Arial" w:eastAsia="Times New Roman" w:hAnsi="Arial" w:cs="Arial"/>
        </w:rPr>
        <w:t>, Anthony Howell on behalf of the IBIS-II investigators</w:t>
      </w:r>
    </w:p>
    <w:p w:rsidR="008737CF" w:rsidRPr="00A339FD" w:rsidRDefault="008737CF" w:rsidP="008737CF">
      <w:pPr>
        <w:spacing w:line="360" w:lineRule="auto"/>
        <w:jc w:val="both"/>
        <w:rPr>
          <w:rFonts w:ascii="Arial" w:eastAsia="Times New Roman" w:hAnsi="Arial" w:cs="Arial"/>
          <w:vertAlign w:val="superscript"/>
        </w:rPr>
      </w:pPr>
    </w:p>
    <w:p w:rsidR="00BE67F0" w:rsidRPr="00A339FD" w:rsidRDefault="008737CF" w:rsidP="008737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9FD">
        <w:rPr>
          <w:rFonts w:ascii="Arial" w:hAnsi="Arial" w:cs="Arial"/>
          <w:b/>
        </w:rPr>
        <w:t>Background:</w:t>
      </w:r>
      <w:r w:rsidRPr="00A339FD">
        <w:rPr>
          <w:rFonts w:ascii="Arial" w:hAnsi="Arial" w:cs="Arial"/>
        </w:rPr>
        <w:t xml:space="preserve"> </w:t>
      </w:r>
      <w:r w:rsidR="00BE67F0" w:rsidRPr="00A339FD">
        <w:rPr>
          <w:rFonts w:ascii="Arial" w:hAnsi="Arial" w:cs="Arial"/>
        </w:rPr>
        <w:t>Two large clinical trials have shown the benefit of aromatase inhibitors in healthy women to reduce the risk of developing breast cancer (MAP.3 and IBIS-II)</w:t>
      </w:r>
      <w:r w:rsidRPr="00A339FD">
        <w:rPr>
          <w:rFonts w:ascii="Arial" w:hAnsi="Arial" w:cs="Arial"/>
        </w:rPr>
        <w:t xml:space="preserve">. Here, </w:t>
      </w:r>
      <w:r w:rsidR="00BE67F0" w:rsidRPr="00A339FD">
        <w:rPr>
          <w:rFonts w:ascii="Arial" w:hAnsi="Arial" w:cs="Arial"/>
        </w:rPr>
        <w:t xml:space="preserve">we report blinded 10-year median follow-up efficacy data </w:t>
      </w:r>
      <w:r w:rsidR="002B177F">
        <w:rPr>
          <w:rFonts w:ascii="Arial" w:hAnsi="Arial" w:cs="Arial"/>
        </w:rPr>
        <w:t>for</w:t>
      </w:r>
      <w:r w:rsidR="00BE67F0" w:rsidRPr="00A339FD">
        <w:rPr>
          <w:rFonts w:ascii="Arial" w:hAnsi="Arial" w:cs="Arial"/>
        </w:rPr>
        <w:t xml:space="preserve"> the IBIS-II trial, which compared </w:t>
      </w:r>
      <w:proofErr w:type="spellStart"/>
      <w:r w:rsidR="00BE67F0" w:rsidRPr="00A339FD">
        <w:rPr>
          <w:rFonts w:ascii="Arial" w:hAnsi="Arial" w:cs="Arial"/>
        </w:rPr>
        <w:t>anastrozole</w:t>
      </w:r>
      <w:proofErr w:type="spellEnd"/>
      <w:r w:rsidR="00BE67F0" w:rsidRPr="00A339FD">
        <w:rPr>
          <w:rFonts w:ascii="Arial" w:hAnsi="Arial" w:cs="Arial"/>
        </w:rPr>
        <w:t xml:space="preserve"> to placebo in </w:t>
      </w:r>
      <w:bookmarkStart w:id="0" w:name="_GoBack"/>
      <w:bookmarkEnd w:id="0"/>
      <w:r w:rsidR="00BE67F0" w:rsidRPr="00A339FD">
        <w:rPr>
          <w:rFonts w:ascii="Arial" w:hAnsi="Arial" w:cs="Arial"/>
        </w:rPr>
        <w:t>women at increased r</w:t>
      </w:r>
      <w:r w:rsidR="008274C0">
        <w:rPr>
          <w:rFonts w:ascii="Arial" w:hAnsi="Arial" w:cs="Arial"/>
        </w:rPr>
        <w:t>isk of developing breast cancer.</w:t>
      </w:r>
    </w:p>
    <w:p w:rsidR="008737CF" w:rsidRPr="00A339FD" w:rsidRDefault="008737CF" w:rsidP="008737C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39FD">
        <w:rPr>
          <w:rFonts w:ascii="Arial" w:hAnsi="Arial" w:cs="Arial"/>
          <w:b/>
        </w:rPr>
        <w:t>Material and Methods:</w:t>
      </w:r>
      <w:r w:rsidRPr="00A339FD">
        <w:rPr>
          <w:rFonts w:ascii="Arial" w:hAnsi="Arial" w:cs="Arial"/>
        </w:rPr>
        <w:t xml:space="preserve"> </w:t>
      </w:r>
      <w:r w:rsidR="00BE67F0" w:rsidRPr="00A339FD">
        <w:rPr>
          <w:rFonts w:ascii="Arial" w:hAnsi="Arial" w:cs="Arial"/>
        </w:rPr>
        <w:t>3864 p</w:t>
      </w:r>
      <w:r w:rsidRPr="00A339FD">
        <w:rPr>
          <w:rFonts w:ascii="Arial" w:hAnsi="Arial" w:cs="Arial"/>
        </w:rPr>
        <w:t xml:space="preserve">ostmenopausal women at increased risk of developing breast cancer were recruited into a double-blind trial of </w:t>
      </w:r>
      <w:proofErr w:type="spellStart"/>
      <w:r w:rsidRPr="00A339FD">
        <w:rPr>
          <w:rFonts w:ascii="Arial" w:hAnsi="Arial" w:cs="Arial"/>
        </w:rPr>
        <w:t>anastrozole</w:t>
      </w:r>
      <w:proofErr w:type="spellEnd"/>
      <w:r w:rsidRPr="00A339FD">
        <w:rPr>
          <w:rFonts w:ascii="Arial" w:hAnsi="Arial" w:cs="Arial"/>
        </w:rPr>
        <w:t xml:space="preserve"> (</w:t>
      </w:r>
      <w:r w:rsidR="00BE67F0" w:rsidRPr="00A339FD">
        <w:rPr>
          <w:rFonts w:ascii="Arial" w:hAnsi="Arial" w:cs="Arial"/>
        </w:rPr>
        <w:t>N=1920</w:t>
      </w:r>
      <w:r w:rsidRPr="00A339FD">
        <w:rPr>
          <w:rFonts w:ascii="Arial" w:hAnsi="Arial" w:cs="Arial"/>
        </w:rPr>
        <w:t>) versus matching placebo</w:t>
      </w:r>
      <w:r w:rsidR="00BE67F0" w:rsidRPr="00A339FD">
        <w:rPr>
          <w:rFonts w:ascii="Arial" w:hAnsi="Arial" w:cs="Arial"/>
        </w:rPr>
        <w:t xml:space="preserve"> (N=1944) for 5 years</w:t>
      </w:r>
      <w:r w:rsidRPr="00A339FD">
        <w:rPr>
          <w:rFonts w:ascii="Arial" w:hAnsi="Arial" w:cs="Arial"/>
        </w:rPr>
        <w:t xml:space="preserve">. The primary objective of this study was to determine the efficacy of </w:t>
      </w:r>
      <w:proofErr w:type="spellStart"/>
      <w:r w:rsidRPr="00A339FD">
        <w:rPr>
          <w:rFonts w:ascii="Arial" w:hAnsi="Arial" w:cs="Arial"/>
        </w:rPr>
        <w:t>anastrozole</w:t>
      </w:r>
      <w:proofErr w:type="spellEnd"/>
      <w:r w:rsidRPr="00A339FD">
        <w:rPr>
          <w:rFonts w:ascii="Arial" w:hAnsi="Arial" w:cs="Arial"/>
        </w:rPr>
        <w:t xml:space="preserve"> in preventing breast cancer (both invasive and ductal carcinoma in situ</w:t>
      </w:r>
      <w:r w:rsidR="00CA156E" w:rsidRPr="00A339FD">
        <w:rPr>
          <w:rFonts w:ascii="Arial" w:hAnsi="Arial" w:cs="Arial"/>
        </w:rPr>
        <w:t xml:space="preserve"> (DCIS)</w:t>
      </w:r>
      <w:r w:rsidRPr="00A339FD">
        <w:rPr>
          <w:rFonts w:ascii="Arial" w:hAnsi="Arial" w:cs="Arial"/>
        </w:rPr>
        <w:t>)</w:t>
      </w:r>
      <w:r w:rsidR="00503B18">
        <w:rPr>
          <w:rFonts w:ascii="Arial" w:hAnsi="Arial" w:cs="Arial"/>
        </w:rPr>
        <w:t>,</w:t>
      </w:r>
      <w:r w:rsidR="008274C0">
        <w:rPr>
          <w:rFonts w:ascii="Arial" w:hAnsi="Arial" w:cs="Arial"/>
        </w:rPr>
        <w:t xml:space="preserve"> overall and particularly in the post </w:t>
      </w:r>
      <w:r w:rsidR="006148BB">
        <w:rPr>
          <w:rFonts w:ascii="Arial" w:hAnsi="Arial" w:cs="Arial"/>
        </w:rPr>
        <w:t>5-year</w:t>
      </w:r>
      <w:r w:rsidR="008274C0">
        <w:rPr>
          <w:rFonts w:ascii="Arial" w:hAnsi="Arial" w:cs="Arial"/>
        </w:rPr>
        <w:t xml:space="preserve"> time period</w:t>
      </w:r>
      <w:r w:rsidRPr="00A339FD">
        <w:rPr>
          <w:rFonts w:ascii="Arial" w:hAnsi="Arial" w:cs="Arial"/>
        </w:rPr>
        <w:t xml:space="preserve">. Secondary endpoints included prevention of oestrogen receptor positive breast cancer, breast cancer mortality, </w:t>
      </w:r>
      <w:r w:rsidR="00485DCA" w:rsidRPr="00A339FD">
        <w:rPr>
          <w:rFonts w:ascii="Arial" w:hAnsi="Arial" w:cs="Arial"/>
        </w:rPr>
        <w:t xml:space="preserve">non-breast cancer deaths, </w:t>
      </w:r>
      <w:r w:rsidRPr="00A339FD">
        <w:rPr>
          <w:rFonts w:ascii="Arial" w:hAnsi="Arial" w:cs="Arial"/>
        </w:rPr>
        <w:t xml:space="preserve">other cancers, cardiovascular disease, fractures, and </w:t>
      </w:r>
      <w:r w:rsidR="00364299">
        <w:rPr>
          <w:rFonts w:ascii="Arial" w:hAnsi="Arial" w:cs="Arial"/>
        </w:rPr>
        <w:t>musculoskeletal event</w:t>
      </w:r>
      <w:r w:rsidR="00485DCA" w:rsidRPr="00A339FD">
        <w:rPr>
          <w:rFonts w:ascii="Arial" w:hAnsi="Arial" w:cs="Arial"/>
        </w:rPr>
        <w:t>s.</w:t>
      </w:r>
    </w:p>
    <w:p w:rsidR="00D76302" w:rsidRPr="00A339FD" w:rsidRDefault="008737CF" w:rsidP="008737C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39FD">
        <w:rPr>
          <w:rFonts w:ascii="Arial" w:hAnsi="Arial" w:cs="Arial"/>
          <w:b/>
        </w:rPr>
        <w:t xml:space="preserve">Results: </w:t>
      </w:r>
      <w:r w:rsidR="0074633C" w:rsidRPr="00A339FD">
        <w:rPr>
          <w:rFonts w:ascii="Arial" w:hAnsi="Arial" w:cs="Arial"/>
        </w:rPr>
        <w:t xml:space="preserve">After a median </w:t>
      </w:r>
      <w:r w:rsidR="008274C0">
        <w:rPr>
          <w:rFonts w:ascii="Arial" w:hAnsi="Arial" w:cs="Arial"/>
        </w:rPr>
        <w:t xml:space="preserve">follow-up </w:t>
      </w:r>
      <w:r w:rsidR="0074633C" w:rsidRPr="00A339FD">
        <w:rPr>
          <w:rFonts w:ascii="Arial" w:hAnsi="Arial" w:cs="Arial"/>
        </w:rPr>
        <w:t>of 10.9 years (IQR 8.8-13.0), a total of 241 breast cancer</w:t>
      </w:r>
      <w:r w:rsidR="004F0110" w:rsidRPr="00A339FD">
        <w:rPr>
          <w:rFonts w:ascii="Arial" w:hAnsi="Arial" w:cs="Arial"/>
        </w:rPr>
        <w:t>s</w:t>
      </w:r>
      <w:r w:rsidR="0074633C" w:rsidRPr="00A339FD">
        <w:rPr>
          <w:rFonts w:ascii="Arial" w:hAnsi="Arial" w:cs="Arial"/>
        </w:rPr>
        <w:t xml:space="preserve"> have been reported (HR=0.50 (0.38-0.65), P&lt;0.0001)</w:t>
      </w:r>
      <w:r w:rsidR="00485DCA" w:rsidRPr="00A339FD">
        <w:rPr>
          <w:rFonts w:ascii="Arial" w:hAnsi="Arial" w:cs="Arial"/>
        </w:rPr>
        <w:t xml:space="preserve"> (Table)</w:t>
      </w:r>
      <w:r w:rsidR="0074633C" w:rsidRPr="00A339FD">
        <w:rPr>
          <w:rFonts w:ascii="Arial" w:hAnsi="Arial" w:cs="Arial"/>
        </w:rPr>
        <w:t xml:space="preserve">. </w:t>
      </w:r>
      <w:r w:rsidR="003A4FB4" w:rsidRPr="00A339FD">
        <w:rPr>
          <w:rFonts w:ascii="Arial" w:hAnsi="Arial" w:cs="Arial"/>
        </w:rPr>
        <w:t>The reduction was larger in the first 5 years (HR=0.39 (0.27-0.58), P&lt;0.0001)</w:t>
      </w:r>
      <w:r w:rsidR="002B177F">
        <w:rPr>
          <w:rFonts w:ascii="Arial" w:hAnsi="Arial" w:cs="Arial"/>
        </w:rPr>
        <w:t>,</w:t>
      </w:r>
      <w:r w:rsidR="003A4FB4" w:rsidRPr="00A339FD">
        <w:rPr>
          <w:rFonts w:ascii="Arial" w:hAnsi="Arial" w:cs="Arial"/>
        </w:rPr>
        <w:t xml:space="preserve"> but </w:t>
      </w:r>
      <w:r w:rsidR="002B177F">
        <w:rPr>
          <w:rFonts w:ascii="Arial" w:hAnsi="Arial" w:cs="Arial"/>
        </w:rPr>
        <w:t xml:space="preserve">still significant after 5 years </w:t>
      </w:r>
      <w:r w:rsidR="003A4FB4" w:rsidRPr="00A339FD">
        <w:rPr>
          <w:rFonts w:ascii="Arial" w:hAnsi="Arial" w:cs="Arial"/>
        </w:rPr>
        <w:t>(</w:t>
      </w:r>
      <w:r w:rsidR="002B177F">
        <w:rPr>
          <w:rFonts w:ascii="Arial" w:hAnsi="Arial" w:cs="Arial"/>
        </w:rPr>
        <w:t xml:space="preserve">117 new cases (49%); </w:t>
      </w:r>
      <w:r w:rsidR="003A4FB4" w:rsidRPr="00A339FD">
        <w:rPr>
          <w:rFonts w:ascii="Arial" w:hAnsi="Arial" w:cs="Arial"/>
        </w:rPr>
        <w:t>HR=0.63 (0.43-0.91), P=0.015)</w:t>
      </w:r>
      <w:r w:rsidR="002B177F">
        <w:rPr>
          <w:rFonts w:ascii="Arial" w:hAnsi="Arial" w:cs="Arial"/>
        </w:rPr>
        <w:t xml:space="preserve"> (Table)</w:t>
      </w:r>
      <w:r w:rsidR="003A4FB4" w:rsidRPr="00A339FD">
        <w:rPr>
          <w:rFonts w:ascii="Arial" w:hAnsi="Arial" w:cs="Arial"/>
        </w:rPr>
        <w:t xml:space="preserve">. </w:t>
      </w:r>
      <w:r w:rsidR="002B177F">
        <w:rPr>
          <w:rFonts w:ascii="Arial" w:hAnsi="Arial" w:cs="Arial"/>
        </w:rPr>
        <w:t xml:space="preserve">The effects in the two time periods were not significantly different (P=0.11). </w:t>
      </w:r>
      <w:r w:rsidR="0074633C" w:rsidRPr="00A339FD">
        <w:rPr>
          <w:rFonts w:ascii="Arial" w:hAnsi="Arial" w:cs="Arial"/>
        </w:rPr>
        <w:t xml:space="preserve">Invasive </w:t>
      </w:r>
      <w:proofErr w:type="spellStart"/>
      <w:r w:rsidR="0074633C" w:rsidRPr="00A339FD">
        <w:rPr>
          <w:rFonts w:ascii="Arial" w:hAnsi="Arial" w:cs="Arial"/>
        </w:rPr>
        <w:t>estrogen</w:t>
      </w:r>
      <w:proofErr w:type="spellEnd"/>
      <w:r w:rsidR="0074633C" w:rsidRPr="00A339FD">
        <w:rPr>
          <w:rFonts w:ascii="Arial" w:hAnsi="Arial" w:cs="Arial"/>
        </w:rPr>
        <w:t xml:space="preserve"> receptor (ER) positive breast cancer was reduced by 54% with </w:t>
      </w:r>
      <w:proofErr w:type="spellStart"/>
      <w:r w:rsidR="0074633C" w:rsidRPr="00A339FD">
        <w:rPr>
          <w:rFonts w:ascii="Arial" w:hAnsi="Arial" w:cs="Arial"/>
        </w:rPr>
        <w:t>anastrozole</w:t>
      </w:r>
      <w:proofErr w:type="spellEnd"/>
      <w:r w:rsidR="0074633C" w:rsidRPr="00A339FD">
        <w:rPr>
          <w:rFonts w:ascii="Arial" w:hAnsi="Arial" w:cs="Arial"/>
        </w:rPr>
        <w:t xml:space="preserve"> (HR=0.46 (0.3</w:t>
      </w:r>
      <w:r w:rsidR="00964FAE">
        <w:rPr>
          <w:rFonts w:ascii="Arial" w:hAnsi="Arial" w:cs="Arial"/>
        </w:rPr>
        <w:t>3</w:t>
      </w:r>
      <w:r w:rsidR="0074633C" w:rsidRPr="00A339FD">
        <w:rPr>
          <w:rFonts w:ascii="Arial" w:hAnsi="Arial" w:cs="Arial"/>
        </w:rPr>
        <w:t xml:space="preserve">-0.65), P&lt;0.0001), </w:t>
      </w:r>
      <w:r w:rsidR="00485DCA" w:rsidRPr="00A339FD">
        <w:rPr>
          <w:rFonts w:ascii="Arial" w:hAnsi="Arial" w:cs="Arial"/>
        </w:rPr>
        <w:t xml:space="preserve">with </w:t>
      </w:r>
      <w:r w:rsidR="002B177F">
        <w:rPr>
          <w:rFonts w:ascii="Arial" w:hAnsi="Arial" w:cs="Arial"/>
        </w:rPr>
        <w:t xml:space="preserve">a </w:t>
      </w:r>
      <w:r w:rsidR="00485DCA" w:rsidRPr="00A339FD">
        <w:rPr>
          <w:rFonts w:ascii="Arial" w:hAnsi="Arial" w:cs="Arial"/>
        </w:rPr>
        <w:t>continued</w:t>
      </w:r>
      <w:r w:rsidR="002B177F">
        <w:rPr>
          <w:rFonts w:ascii="Arial" w:hAnsi="Arial" w:cs="Arial"/>
        </w:rPr>
        <w:t xml:space="preserve"> significant</w:t>
      </w:r>
      <w:r w:rsidR="00485DCA" w:rsidRPr="00A339FD">
        <w:rPr>
          <w:rFonts w:ascii="Arial" w:hAnsi="Arial" w:cs="Arial"/>
        </w:rPr>
        <w:t xml:space="preserve"> effect observed in the post treatment follow-up period (Table). A</w:t>
      </w:r>
      <w:r w:rsidR="0074633C" w:rsidRPr="00A339FD">
        <w:rPr>
          <w:rFonts w:ascii="Arial" w:hAnsi="Arial" w:cs="Arial"/>
        </w:rPr>
        <w:t xml:space="preserve"> non-significant </w:t>
      </w:r>
      <w:r w:rsidR="00485DCA" w:rsidRPr="00A339FD">
        <w:rPr>
          <w:rFonts w:ascii="Arial" w:hAnsi="Arial" w:cs="Arial"/>
        </w:rPr>
        <w:t>effect</w:t>
      </w:r>
      <w:r w:rsidR="0074633C" w:rsidRPr="00A339FD">
        <w:rPr>
          <w:rFonts w:ascii="Arial" w:hAnsi="Arial" w:cs="Arial"/>
        </w:rPr>
        <w:t xml:space="preserve"> </w:t>
      </w:r>
      <w:r w:rsidR="00485DCA" w:rsidRPr="00A339FD">
        <w:rPr>
          <w:rFonts w:ascii="Arial" w:hAnsi="Arial" w:cs="Arial"/>
        </w:rPr>
        <w:t xml:space="preserve">was </w:t>
      </w:r>
      <w:r w:rsidR="0074633C" w:rsidRPr="00A339FD">
        <w:rPr>
          <w:rFonts w:ascii="Arial" w:hAnsi="Arial" w:cs="Arial"/>
        </w:rPr>
        <w:t xml:space="preserve">observed in invasive ER-negative breast cancer (HR=0.76 (0.39-1.45), P=0.4). </w:t>
      </w:r>
      <w:r w:rsidR="002B177F">
        <w:rPr>
          <w:rFonts w:ascii="Arial" w:hAnsi="Arial" w:cs="Arial"/>
        </w:rPr>
        <w:t>A reduction in DCIS overall was observed (Table), with a very</w:t>
      </w:r>
      <w:r w:rsidR="00505FE9" w:rsidRPr="00A339FD">
        <w:rPr>
          <w:rFonts w:ascii="Arial" w:hAnsi="Arial" w:cs="Arial"/>
        </w:rPr>
        <w:t xml:space="preserve"> large reduction in</w:t>
      </w:r>
      <w:r w:rsidR="002B177F">
        <w:rPr>
          <w:rFonts w:ascii="Arial" w:hAnsi="Arial" w:cs="Arial"/>
        </w:rPr>
        <w:t xml:space="preserve"> those known to be</w:t>
      </w:r>
      <w:r w:rsidR="00505FE9" w:rsidRPr="00A339FD">
        <w:rPr>
          <w:rFonts w:ascii="Arial" w:hAnsi="Arial" w:cs="Arial"/>
        </w:rPr>
        <w:t xml:space="preserve"> ER-positive (HR=0.23 (0.08-0.69), P&lt;0.0001).</w:t>
      </w:r>
      <w:r w:rsidR="00731EB6" w:rsidRPr="00A339FD">
        <w:rPr>
          <w:rFonts w:ascii="Arial" w:hAnsi="Arial" w:cs="Arial"/>
        </w:rPr>
        <w:t xml:space="preserve"> A total of 129 deaths </w:t>
      </w:r>
      <w:r w:rsidR="002B177F">
        <w:rPr>
          <w:rFonts w:ascii="Arial" w:hAnsi="Arial" w:cs="Arial"/>
        </w:rPr>
        <w:t>have been</w:t>
      </w:r>
      <w:r w:rsidR="00731EB6" w:rsidRPr="00A339FD">
        <w:rPr>
          <w:rFonts w:ascii="Arial" w:hAnsi="Arial" w:cs="Arial"/>
        </w:rPr>
        <w:t xml:space="preserve"> reported,</w:t>
      </w:r>
      <w:r w:rsidR="002B177F">
        <w:rPr>
          <w:rFonts w:ascii="Arial" w:hAnsi="Arial" w:cs="Arial"/>
        </w:rPr>
        <w:t xml:space="preserve"> with no significant difference</w:t>
      </w:r>
      <w:r w:rsidR="00731EB6" w:rsidRPr="00A339FD">
        <w:rPr>
          <w:rFonts w:ascii="Arial" w:hAnsi="Arial" w:cs="Arial"/>
        </w:rPr>
        <w:t xml:space="preserve"> in all-cause mortality between the two treatment arms (63 vs. 66; HR=0.93 (0.66-1.32), P=0.7). </w:t>
      </w:r>
      <w:r w:rsidR="00485DCA" w:rsidRPr="00A339FD">
        <w:rPr>
          <w:rFonts w:ascii="Arial" w:hAnsi="Arial" w:cs="Arial"/>
        </w:rPr>
        <w:t>Only 5 deaths from breast cancer</w:t>
      </w:r>
      <w:r w:rsidR="00731EB6" w:rsidRPr="00A339FD">
        <w:rPr>
          <w:rFonts w:ascii="Arial" w:hAnsi="Arial" w:cs="Arial"/>
        </w:rPr>
        <w:t xml:space="preserve"> (2 vs. 3)</w:t>
      </w:r>
      <w:r w:rsidR="00485DCA" w:rsidRPr="00A339FD">
        <w:rPr>
          <w:rFonts w:ascii="Arial" w:hAnsi="Arial" w:cs="Arial"/>
        </w:rPr>
        <w:t xml:space="preserve"> were reported</w:t>
      </w:r>
      <w:r w:rsidR="00731EB6" w:rsidRPr="00A339FD">
        <w:rPr>
          <w:rFonts w:ascii="Arial" w:hAnsi="Arial" w:cs="Arial"/>
        </w:rPr>
        <w:t xml:space="preserve">, but number of events are </w:t>
      </w:r>
      <w:r w:rsidR="00485DCA" w:rsidRPr="00A339FD">
        <w:rPr>
          <w:rFonts w:ascii="Arial" w:hAnsi="Arial" w:cs="Arial"/>
        </w:rPr>
        <w:t xml:space="preserve">very </w:t>
      </w:r>
      <w:r w:rsidR="00731EB6" w:rsidRPr="00A339FD">
        <w:rPr>
          <w:rFonts w:ascii="Arial" w:hAnsi="Arial" w:cs="Arial"/>
        </w:rPr>
        <w:t>small and longer follow-up is needed. 321 cancer</w:t>
      </w:r>
      <w:r w:rsidR="00E90ABD" w:rsidRPr="00A339FD">
        <w:rPr>
          <w:rFonts w:ascii="Arial" w:hAnsi="Arial" w:cs="Arial"/>
        </w:rPr>
        <w:t>s</w:t>
      </w:r>
      <w:r w:rsidR="00731EB6" w:rsidRPr="00A339FD">
        <w:rPr>
          <w:rFonts w:ascii="Arial" w:hAnsi="Arial" w:cs="Arial"/>
        </w:rPr>
        <w:t xml:space="preserve"> </w:t>
      </w:r>
      <w:r w:rsidR="004F0110" w:rsidRPr="00A339FD">
        <w:rPr>
          <w:rFonts w:ascii="Arial" w:hAnsi="Arial" w:cs="Arial"/>
        </w:rPr>
        <w:t xml:space="preserve">other </w:t>
      </w:r>
      <w:r w:rsidR="00731EB6" w:rsidRPr="00A339FD">
        <w:rPr>
          <w:rFonts w:ascii="Arial" w:hAnsi="Arial" w:cs="Arial"/>
        </w:rPr>
        <w:t>than breast were reported</w:t>
      </w:r>
      <w:r w:rsidR="00D76302" w:rsidRPr="00A339FD">
        <w:rPr>
          <w:rFonts w:ascii="Arial" w:hAnsi="Arial" w:cs="Arial"/>
        </w:rPr>
        <w:t xml:space="preserve">, with a significant decrease observed with </w:t>
      </w:r>
      <w:proofErr w:type="spellStart"/>
      <w:r w:rsidR="00D76302" w:rsidRPr="00A339FD">
        <w:rPr>
          <w:rFonts w:ascii="Arial" w:hAnsi="Arial" w:cs="Arial"/>
        </w:rPr>
        <w:t>anastrozole</w:t>
      </w:r>
      <w:proofErr w:type="spellEnd"/>
      <w:r w:rsidR="00D76302" w:rsidRPr="00A339FD">
        <w:rPr>
          <w:rFonts w:ascii="Arial" w:hAnsi="Arial" w:cs="Arial"/>
        </w:rPr>
        <w:t xml:space="preserve"> (129 vs. 192, OR=0.66 (0.52-0.83), P=0.0004). </w:t>
      </w:r>
      <w:r w:rsidR="00E90ABD" w:rsidRPr="00A339FD">
        <w:rPr>
          <w:rFonts w:ascii="Arial" w:hAnsi="Arial" w:cs="Arial"/>
        </w:rPr>
        <w:t>Specifically,</w:t>
      </w:r>
      <w:r w:rsidR="00D76302" w:rsidRPr="00A339FD">
        <w:rPr>
          <w:rFonts w:ascii="Arial" w:hAnsi="Arial" w:cs="Arial"/>
        </w:rPr>
        <w:t xml:space="preserve"> fewer endometrial cancers (4 vs. 8), ovarian cancers (5 vs. 9), lung cancers (5 vs. 12</w:t>
      </w:r>
      <w:r w:rsidR="00485DCA" w:rsidRPr="00A339FD">
        <w:rPr>
          <w:rFonts w:ascii="Arial" w:hAnsi="Arial" w:cs="Arial"/>
        </w:rPr>
        <w:t>)</w:t>
      </w:r>
      <w:r w:rsidR="00D76302" w:rsidRPr="00A339FD">
        <w:rPr>
          <w:rFonts w:ascii="Arial" w:hAnsi="Arial" w:cs="Arial"/>
        </w:rPr>
        <w:t xml:space="preserve">, and melanomas (9 vs. 18) were observed with </w:t>
      </w:r>
      <w:proofErr w:type="spellStart"/>
      <w:r w:rsidR="00D76302" w:rsidRPr="00A339FD">
        <w:rPr>
          <w:rFonts w:ascii="Arial" w:hAnsi="Arial" w:cs="Arial"/>
        </w:rPr>
        <w:t>anastrozole</w:t>
      </w:r>
      <w:proofErr w:type="spellEnd"/>
      <w:r w:rsidR="00D76302" w:rsidRPr="00A339FD">
        <w:rPr>
          <w:rFonts w:ascii="Arial" w:hAnsi="Arial" w:cs="Arial"/>
        </w:rPr>
        <w:t>.</w:t>
      </w:r>
      <w:r w:rsidR="00485DCA" w:rsidRPr="00A339FD">
        <w:rPr>
          <w:rFonts w:ascii="Arial" w:hAnsi="Arial" w:cs="Arial"/>
        </w:rPr>
        <w:t xml:space="preserve"> A comprehensive adverse event profile will be reported.</w:t>
      </w:r>
    </w:p>
    <w:p w:rsidR="008737CF" w:rsidRPr="00A339FD" w:rsidRDefault="008737CF" w:rsidP="008737C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39FD">
        <w:rPr>
          <w:rFonts w:ascii="Arial" w:hAnsi="Arial" w:cs="Arial"/>
          <w:b/>
        </w:rPr>
        <w:lastRenderedPageBreak/>
        <w:t>Conclusion:</w:t>
      </w:r>
      <w:r w:rsidRPr="00A339FD">
        <w:rPr>
          <w:rFonts w:ascii="Arial" w:hAnsi="Arial" w:cs="Arial"/>
        </w:rPr>
        <w:t xml:space="preserve"> </w:t>
      </w:r>
      <w:r w:rsidR="00E90ABD" w:rsidRPr="00A339FD">
        <w:rPr>
          <w:rFonts w:ascii="Arial" w:hAnsi="Arial" w:cs="Arial"/>
        </w:rPr>
        <w:t xml:space="preserve">This updated analysis of the IBIS-II trial confirms the significant reduction in breast cancer occurrence with </w:t>
      </w:r>
      <w:proofErr w:type="spellStart"/>
      <w:r w:rsidR="00E90ABD" w:rsidRPr="00A339FD">
        <w:rPr>
          <w:rFonts w:ascii="Arial" w:hAnsi="Arial" w:cs="Arial"/>
        </w:rPr>
        <w:t>anastrozole</w:t>
      </w:r>
      <w:proofErr w:type="spellEnd"/>
      <w:r w:rsidR="00E90ABD" w:rsidRPr="00A339FD">
        <w:rPr>
          <w:rFonts w:ascii="Arial" w:hAnsi="Arial" w:cs="Arial"/>
        </w:rPr>
        <w:t xml:space="preserve"> in the post-treatment follow-up period. These results indicate </w:t>
      </w:r>
      <w:r w:rsidR="002B177F">
        <w:rPr>
          <w:rFonts w:ascii="Arial" w:hAnsi="Arial" w:cs="Arial"/>
        </w:rPr>
        <w:t xml:space="preserve">a </w:t>
      </w:r>
      <w:r w:rsidR="00E90ABD" w:rsidRPr="00A339FD">
        <w:rPr>
          <w:rFonts w:ascii="Arial" w:hAnsi="Arial" w:cs="Arial"/>
        </w:rPr>
        <w:t xml:space="preserve">long-term </w:t>
      </w:r>
      <w:r w:rsidR="002B177F">
        <w:rPr>
          <w:rFonts w:ascii="Arial" w:hAnsi="Arial" w:cs="Arial"/>
        </w:rPr>
        <w:t xml:space="preserve">preventive </w:t>
      </w:r>
      <w:r w:rsidR="006148BB">
        <w:rPr>
          <w:rFonts w:ascii="Arial" w:hAnsi="Arial" w:cs="Arial"/>
        </w:rPr>
        <w:t xml:space="preserve">benefit </w:t>
      </w:r>
      <w:r w:rsidR="002B177F">
        <w:rPr>
          <w:rFonts w:ascii="Arial" w:hAnsi="Arial" w:cs="Arial"/>
        </w:rPr>
        <w:t xml:space="preserve">with </w:t>
      </w:r>
      <w:proofErr w:type="spellStart"/>
      <w:r w:rsidR="002B177F">
        <w:rPr>
          <w:rFonts w:ascii="Arial" w:hAnsi="Arial" w:cs="Arial"/>
        </w:rPr>
        <w:t>anastrozole</w:t>
      </w:r>
      <w:proofErr w:type="spellEnd"/>
      <w:r w:rsidR="00E90ABD" w:rsidRPr="00A339FD">
        <w:rPr>
          <w:rFonts w:ascii="Arial" w:hAnsi="Arial" w:cs="Arial"/>
        </w:rPr>
        <w:t xml:space="preserve"> </w:t>
      </w:r>
      <w:r w:rsidR="002B177F">
        <w:rPr>
          <w:rFonts w:ascii="Arial" w:hAnsi="Arial" w:cs="Arial"/>
        </w:rPr>
        <w:t>for</w:t>
      </w:r>
      <w:r w:rsidR="00E90ABD" w:rsidRPr="00A339FD">
        <w:rPr>
          <w:rFonts w:ascii="Arial" w:hAnsi="Arial" w:cs="Arial"/>
        </w:rPr>
        <w:t xml:space="preserve"> ER-positive breast cancer in postmenopausal women.</w:t>
      </w:r>
    </w:p>
    <w:p w:rsidR="00B51943" w:rsidRPr="00A339FD" w:rsidRDefault="00485DCA">
      <w:pPr>
        <w:rPr>
          <w:rFonts w:ascii="Arial" w:hAnsi="Arial" w:cs="Arial"/>
        </w:rPr>
      </w:pPr>
      <w:r w:rsidRPr="00A339FD">
        <w:rPr>
          <w:rFonts w:ascii="Arial" w:hAnsi="Arial" w:cs="Arial"/>
          <w:b/>
        </w:rPr>
        <w:t>Table</w:t>
      </w:r>
      <w:r w:rsidRPr="00A339FD">
        <w:rPr>
          <w:rFonts w:ascii="Arial" w:hAnsi="Arial" w:cs="Arial"/>
        </w:rPr>
        <w:t>: Number of events and Hazard Ratios (95% CI) according to treatment allocation and follow-up period.</w:t>
      </w:r>
    </w:p>
    <w:p w:rsidR="00A339FD" w:rsidRPr="00A339FD" w:rsidRDefault="00A339FD">
      <w:pPr>
        <w:rPr>
          <w:rFonts w:ascii="Arial" w:hAnsi="Arial" w:cs="Arial"/>
        </w:rPr>
      </w:pPr>
    </w:p>
    <w:tbl>
      <w:tblPr>
        <w:tblStyle w:val="TableGrid"/>
        <w:tblW w:w="8844" w:type="dxa"/>
        <w:tblLook w:val="0420" w:firstRow="1" w:lastRow="0" w:firstColumn="0" w:lastColumn="0" w:noHBand="0" w:noVBand="1"/>
      </w:tblPr>
      <w:tblGrid>
        <w:gridCol w:w="2750"/>
        <w:gridCol w:w="2323"/>
        <w:gridCol w:w="2131"/>
        <w:gridCol w:w="1640"/>
      </w:tblGrid>
      <w:tr w:rsidR="00485DCA" w:rsidRPr="00A339FD" w:rsidTr="00364299">
        <w:trPr>
          <w:trHeight w:val="287"/>
        </w:trPr>
        <w:tc>
          <w:tcPr>
            <w:tcW w:w="2750" w:type="dxa"/>
            <w:hideMark/>
          </w:tcPr>
          <w:p w:rsidR="00485DCA" w:rsidRPr="00A339FD" w:rsidRDefault="00485DCA" w:rsidP="00485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hideMark/>
          </w:tcPr>
          <w:p w:rsidR="00485DCA" w:rsidRPr="00B04424" w:rsidRDefault="00485DCA" w:rsidP="00A33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24">
              <w:rPr>
                <w:rFonts w:ascii="Arial" w:hAnsi="Arial" w:cs="Arial"/>
                <w:b/>
                <w:bCs/>
                <w:sz w:val="20"/>
                <w:szCs w:val="20"/>
              </w:rPr>
              <w:t>Number of events</w:t>
            </w:r>
          </w:p>
        </w:tc>
        <w:tc>
          <w:tcPr>
            <w:tcW w:w="2131" w:type="dxa"/>
            <w:hideMark/>
          </w:tcPr>
          <w:p w:rsidR="00485DCA" w:rsidRPr="00B04424" w:rsidRDefault="00485DCA" w:rsidP="0048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24">
              <w:rPr>
                <w:rFonts w:ascii="Arial" w:hAnsi="Arial" w:cs="Arial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1640" w:type="dxa"/>
            <w:hideMark/>
          </w:tcPr>
          <w:p w:rsidR="00485DCA" w:rsidRPr="00B04424" w:rsidRDefault="00485DCA" w:rsidP="0048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24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Overall</w:t>
            </w:r>
          </w:p>
        </w:tc>
        <w:tc>
          <w:tcPr>
            <w:tcW w:w="2323" w:type="dxa"/>
            <w:hideMark/>
          </w:tcPr>
          <w:p w:rsidR="0018074C" w:rsidRPr="0082228E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241 </w:t>
            </w:r>
            <w:r w:rsidRPr="0082228E">
              <w:rPr>
                <w:rFonts w:ascii="Arial" w:hAnsi="Arial" w:cs="Arial"/>
                <w:bCs/>
                <w:kern w:val="24"/>
                <w:sz w:val="20"/>
                <w:szCs w:val="20"/>
              </w:rPr>
              <w:t>(81 vs. 160)</w:t>
            </w:r>
          </w:p>
        </w:tc>
        <w:tc>
          <w:tcPr>
            <w:tcW w:w="2131" w:type="dxa"/>
            <w:hideMark/>
          </w:tcPr>
          <w:p w:rsidR="0018074C" w:rsidRPr="0082228E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8E">
              <w:rPr>
                <w:rFonts w:ascii="Arial" w:hAnsi="Arial" w:cs="Arial"/>
                <w:bCs/>
                <w:kern w:val="24"/>
                <w:sz w:val="20"/>
                <w:szCs w:val="20"/>
              </w:rPr>
              <w:t>0.50 (0.38-0.65)</w:t>
            </w:r>
          </w:p>
        </w:tc>
        <w:tc>
          <w:tcPr>
            <w:tcW w:w="1640" w:type="dxa"/>
            <w:hideMark/>
          </w:tcPr>
          <w:p w:rsidR="0018074C" w:rsidRPr="0082228E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8E">
              <w:rPr>
                <w:rFonts w:ascii="Arial" w:hAnsi="Arial" w:cs="Arial"/>
                <w:bCs/>
                <w:kern w:val="24"/>
                <w:sz w:val="20"/>
                <w:szCs w:val="20"/>
              </w:rPr>
              <w:t>&lt;0.0001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0-5 years</w:t>
            </w:r>
          </w:p>
        </w:tc>
        <w:tc>
          <w:tcPr>
            <w:tcW w:w="2323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124 (35 vs. 89)</w:t>
            </w:r>
          </w:p>
        </w:tc>
        <w:tc>
          <w:tcPr>
            <w:tcW w:w="2131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0.39 (0.27-0.58)</w:t>
            </w:r>
          </w:p>
        </w:tc>
        <w:tc>
          <w:tcPr>
            <w:tcW w:w="164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&lt;0.0001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5+ years</w:t>
            </w:r>
          </w:p>
        </w:tc>
        <w:tc>
          <w:tcPr>
            <w:tcW w:w="2323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117 (46 vs. 71)</w:t>
            </w:r>
          </w:p>
        </w:tc>
        <w:tc>
          <w:tcPr>
            <w:tcW w:w="2131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0.63 (0.43-0.91)</w:t>
            </w:r>
          </w:p>
        </w:tc>
        <w:tc>
          <w:tcPr>
            <w:tcW w:w="164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0.015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04424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Invasive ER-positive</w:t>
            </w:r>
          </w:p>
        </w:tc>
        <w:tc>
          <w:tcPr>
            <w:tcW w:w="2323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151 (48 vs. 103)</w:t>
            </w:r>
          </w:p>
        </w:tc>
        <w:tc>
          <w:tcPr>
            <w:tcW w:w="2131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0.46 (0.33-0.65)</w:t>
            </w:r>
          </w:p>
        </w:tc>
        <w:tc>
          <w:tcPr>
            <w:tcW w:w="164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&lt;0.0001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0-5 years</w:t>
            </w:r>
          </w:p>
        </w:tc>
        <w:tc>
          <w:tcPr>
            <w:tcW w:w="2323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72 (20 vs. 52)</w:t>
            </w:r>
          </w:p>
        </w:tc>
        <w:tc>
          <w:tcPr>
            <w:tcW w:w="2131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0.38 (0.23-0.64)</w:t>
            </w:r>
          </w:p>
        </w:tc>
        <w:tc>
          <w:tcPr>
            <w:tcW w:w="164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&lt;0.0001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5+ years</w:t>
            </w:r>
          </w:p>
        </w:tc>
        <w:tc>
          <w:tcPr>
            <w:tcW w:w="2323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79 (28 vs. 51)</w:t>
            </w:r>
          </w:p>
        </w:tc>
        <w:tc>
          <w:tcPr>
            <w:tcW w:w="2131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0.53 (0.34-0.84)</w:t>
            </w:r>
          </w:p>
        </w:tc>
        <w:tc>
          <w:tcPr>
            <w:tcW w:w="164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0.007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04424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All DCIS</w:t>
            </w:r>
          </w:p>
        </w:tc>
        <w:tc>
          <w:tcPr>
            <w:tcW w:w="2323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42 (13 vs. 29)</w:t>
            </w:r>
          </w:p>
        </w:tc>
        <w:tc>
          <w:tcPr>
            <w:tcW w:w="2131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0.44 (0.23-0.85)</w:t>
            </w:r>
          </w:p>
        </w:tc>
        <w:tc>
          <w:tcPr>
            <w:tcW w:w="164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0.015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0-5 years</w:t>
            </w:r>
          </w:p>
        </w:tc>
        <w:tc>
          <w:tcPr>
            <w:tcW w:w="2323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22 (5 vs. 17)</w:t>
            </w:r>
          </w:p>
        </w:tc>
        <w:tc>
          <w:tcPr>
            <w:tcW w:w="2131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0.29 (0.11-0.80)</w:t>
            </w:r>
          </w:p>
        </w:tc>
        <w:tc>
          <w:tcPr>
            <w:tcW w:w="164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0.011</w:t>
            </w:r>
          </w:p>
        </w:tc>
      </w:tr>
      <w:tr w:rsidR="0018074C" w:rsidRPr="00A339FD" w:rsidTr="00364299">
        <w:trPr>
          <w:trHeight w:val="287"/>
        </w:trPr>
        <w:tc>
          <w:tcPr>
            <w:tcW w:w="275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5+ years</w:t>
            </w:r>
          </w:p>
        </w:tc>
        <w:tc>
          <w:tcPr>
            <w:tcW w:w="2323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20 (8 vs. 12)</w:t>
            </w:r>
          </w:p>
        </w:tc>
        <w:tc>
          <w:tcPr>
            <w:tcW w:w="2131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0.65 (0.26-1.59)</w:t>
            </w:r>
          </w:p>
        </w:tc>
        <w:tc>
          <w:tcPr>
            <w:tcW w:w="1640" w:type="dxa"/>
            <w:hideMark/>
          </w:tcPr>
          <w:p w:rsidR="0018074C" w:rsidRPr="00B04424" w:rsidRDefault="0018074C" w:rsidP="00180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2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0.34</w:t>
            </w:r>
          </w:p>
        </w:tc>
      </w:tr>
    </w:tbl>
    <w:p w:rsidR="00485DCA" w:rsidRPr="00A339FD" w:rsidRDefault="00485DCA">
      <w:pPr>
        <w:rPr>
          <w:rFonts w:ascii="Arial" w:hAnsi="Arial" w:cs="Arial"/>
        </w:rPr>
      </w:pPr>
    </w:p>
    <w:sectPr w:rsidR="00485DCA" w:rsidRPr="00A3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CF"/>
    <w:rsid w:val="0018074C"/>
    <w:rsid w:val="002B177F"/>
    <w:rsid w:val="00333A02"/>
    <w:rsid w:val="00364299"/>
    <w:rsid w:val="003A4FB4"/>
    <w:rsid w:val="00485DCA"/>
    <w:rsid w:val="004B1B45"/>
    <w:rsid w:val="004E37DD"/>
    <w:rsid w:val="004F0110"/>
    <w:rsid w:val="00503B18"/>
    <w:rsid w:val="00505FE9"/>
    <w:rsid w:val="006148BB"/>
    <w:rsid w:val="006F6C85"/>
    <w:rsid w:val="00731EB6"/>
    <w:rsid w:val="0074633C"/>
    <w:rsid w:val="007767AC"/>
    <w:rsid w:val="008274C0"/>
    <w:rsid w:val="008737CF"/>
    <w:rsid w:val="00964FAE"/>
    <w:rsid w:val="009D6872"/>
    <w:rsid w:val="00A339FD"/>
    <w:rsid w:val="00A70441"/>
    <w:rsid w:val="00B04424"/>
    <w:rsid w:val="00B51943"/>
    <w:rsid w:val="00BE67F0"/>
    <w:rsid w:val="00CA156E"/>
    <w:rsid w:val="00D76302"/>
    <w:rsid w:val="00E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E23B"/>
  <w15:chartTrackingRefBased/>
  <w15:docId w15:val="{3ECB16BA-BAE8-4CBC-AE31-AE9B5DAF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CF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4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C0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Sestak</dc:creator>
  <cp:keywords/>
  <dc:description/>
  <cp:lastModifiedBy>Ivana Sestak</cp:lastModifiedBy>
  <cp:revision>17</cp:revision>
  <cp:lastPrinted>2019-07-03T10:02:00Z</cp:lastPrinted>
  <dcterms:created xsi:type="dcterms:W3CDTF">2019-07-01T11:17:00Z</dcterms:created>
  <dcterms:modified xsi:type="dcterms:W3CDTF">2019-07-04T09:04:00Z</dcterms:modified>
</cp:coreProperties>
</file>