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028" w:rsidRDefault="00A45ADA">
      <w:pPr>
        <w:pStyle w:val="Body"/>
        <w:spacing w:line="360" w:lineRule="auto"/>
        <w:jc w:val="center"/>
        <w:rPr>
          <w:b/>
          <w:bCs/>
          <w:sz w:val="28"/>
          <w:szCs w:val="28"/>
        </w:rPr>
      </w:pPr>
      <w:r>
        <w:rPr>
          <w:rFonts w:ascii="Times New Roman"/>
          <w:b/>
          <w:bCs/>
          <w:sz w:val="28"/>
          <w:szCs w:val="28"/>
        </w:rPr>
        <w:t>Tooth loss in molars with and without furcation involvement- a systematic review and meta-analysis</w:t>
      </w:r>
    </w:p>
    <w:p w:rsidR="002B2028" w:rsidRDefault="00A45ADA">
      <w:pPr>
        <w:pStyle w:val="Body"/>
        <w:jc w:val="center"/>
        <w:rPr>
          <w:i/>
          <w:iCs/>
          <w:lang w:val="it-IT"/>
        </w:rPr>
      </w:pPr>
      <w:r>
        <w:rPr>
          <w:rFonts w:ascii="Times New Roman"/>
          <w:lang w:val="it-IT"/>
        </w:rPr>
        <w:t xml:space="preserve">Luigi Nibali </w:t>
      </w:r>
      <w:r>
        <w:rPr>
          <w:rFonts w:ascii="Times New Roman"/>
          <w:vertAlign w:val="superscript"/>
          <w:lang w:val="it-IT"/>
        </w:rPr>
        <w:t>1</w:t>
      </w:r>
      <w:r>
        <w:rPr>
          <w:rFonts w:ascii="Times New Roman"/>
          <w:lang w:val="it-IT"/>
        </w:rPr>
        <w:t>, Angelo Zavattini</w:t>
      </w:r>
      <w:r>
        <w:rPr>
          <w:rFonts w:ascii="Times New Roman"/>
          <w:vertAlign w:val="superscript"/>
          <w:lang w:val="it-IT"/>
        </w:rPr>
        <w:t xml:space="preserve"> 1</w:t>
      </w:r>
      <w:r>
        <w:rPr>
          <w:rFonts w:ascii="Times New Roman"/>
          <w:lang w:val="it-IT"/>
        </w:rPr>
        <w:t xml:space="preserve">, Kohji Nagata </w:t>
      </w:r>
      <w:r>
        <w:rPr>
          <w:rFonts w:ascii="Times New Roman"/>
          <w:vertAlign w:val="superscript"/>
          <w:lang w:val="it-IT"/>
        </w:rPr>
        <w:t>1,2,3</w:t>
      </w:r>
      <w:r>
        <w:rPr>
          <w:rFonts w:ascii="Times New Roman"/>
          <w:lang w:val="it-IT"/>
        </w:rPr>
        <w:t xml:space="preserve">, Anna Di Iorio </w:t>
      </w:r>
      <w:r>
        <w:rPr>
          <w:rFonts w:ascii="Times New Roman"/>
          <w:vertAlign w:val="superscript"/>
          <w:lang w:val="it-IT"/>
        </w:rPr>
        <w:t>4</w:t>
      </w:r>
      <w:r>
        <w:rPr>
          <w:rFonts w:ascii="Times New Roman"/>
          <w:lang w:val="it-IT"/>
        </w:rPr>
        <w:t>, Guo-Hao Lin</w:t>
      </w:r>
      <w:r>
        <w:rPr>
          <w:rFonts w:ascii="Times New Roman"/>
          <w:vertAlign w:val="superscript"/>
          <w:lang w:val="it-IT"/>
        </w:rPr>
        <w:t xml:space="preserve"> 5</w:t>
      </w:r>
      <w:r>
        <w:rPr>
          <w:rFonts w:ascii="Times New Roman"/>
          <w:lang w:val="it-IT"/>
        </w:rPr>
        <w:t>, Ian Needleman</w:t>
      </w:r>
      <w:r>
        <w:rPr>
          <w:rFonts w:ascii="Times New Roman"/>
          <w:vertAlign w:val="superscript"/>
          <w:lang w:val="it-IT"/>
        </w:rPr>
        <w:t>1</w:t>
      </w:r>
      <w:r>
        <w:rPr>
          <w:rFonts w:ascii="Times New Roman"/>
          <w:lang w:val="it-IT"/>
        </w:rPr>
        <w:t>, Nikos Donos</w:t>
      </w:r>
      <w:r w:rsidR="00B4727C">
        <w:rPr>
          <w:rFonts w:ascii="Times New Roman"/>
          <w:vertAlign w:val="superscript"/>
          <w:lang w:val="it-IT"/>
        </w:rPr>
        <w:t xml:space="preserve"> 6</w:t>
      </w:r>
      <w:r>
        <w:rPr>
          <w:rFonts w:ascii="Times New Roman"/>
          <w:vertAlign w:val="superscript"/>
          <w:lang w:val="it-IT"/>
        </w:rPr>
        <w:t xml:space="preserve"> </w:t>
      </w:r>
    </w:p>
    <w:p w:rsidR="002B2028" w:rsidRDefault="002B2028">
      <w:pPr>
        <w:pStyle w:val="Body"/>
        <w:jc w:val="center"/>
        <w:rPr>
          <w:rFonts w:ascii="Times New Roman" w:eastAsia="Times New Roman" w:hAnsi="Times New Roman" w:cs="Times New Roman"/>
          <w:lang w:val="it-IT"/>
        </w:rPr>
      </w:pPr>
    </w:p>
    <w:p w:rsidR="002B2028" w:rsidRDefault="002B2028">
      <w:pPr>
        <w:pStyle w:val="Body"/>
        <w:spacing w:line="480" w:lineRule="auto"/>
        <w:ind w:left="180" w:hanging="180"/>
        <w:jc w:val="center"/>
        <w:rPr>
          <w:rFonts w:ascii="Times New Roman" w:eastAsia="Times New Roman" w:hAnsi="Times New Roman" w:cs="Times New Roman"/>
          <w:vertAlign w:val="superscript"/>
          <w:lang w:val="it-IT"/>
        </w:rPr>
      </w:pPr>
    </w:p>
    <w:p w:rsidR="002B2028" w:rsidRDefault="00A45ADA">
      <w:pPr>
        <w:pStyle w:val="Body"/>
        <w:spacing w:line="360" w:lineRule="auto"/>
        <w:ind w:left="181" w:hanging="181"/>
        <w:jc w:val="both"/>
      </w:pPr>
      <w:r>
        <w:rPr>
          <w:rFonts w:ascii="Times New Roman"/>
          <w:vertAlign w:val="superscript"/>
        </w:rPr>
        <w:t>1</w:t>
      </w:r>
      <w:r>
        <w:rPr>
          <w:rFonts w:ascii="Times New Roman"/>
        </w:rPr>
        <w:t>Periodontology Unit and Department of Clinical Research, UCL Eastman Dental Institute, London, United Kingdom</w:t>
      </w:r>
    </w:p>
    <w:p w:rsidR="002B2028" w:rsidRDefault="00A45ADA">
      <w:pPr>
        <w:pStyle w:val="Body"/>
        <w:spacing w:line="360" w:lineRule="auto"/>
        <w:jc w:val="both"/>
      </w:pPr>
      <w:r>
        <w:rPr>
          <w:rFonts w:ascii="Times New Roman"/>
          <w:vertAlign w:val="superscript"/>
        </w:rPr>
        <w:t xml:space="preserve">2 </w:t>
      </w:r>
      <w:r>
        <w:rPr>
          <w:rFonts w:ascii="Times New Roman"/>
        </w:rPr>
        <w:t xml:space="preserve">Department of Biomaterials Science and Turku Clinical Biomaterials Centre </w:t>
      </w:r>
      <w:r>
        <w:rPr>
          <w:rFonts w:hAnsi="Arial Unicode MS"/>
        </w:rPr>
        <w:t>–</w:t>
      </w:r>
      <w:r>
        <w:rPr>
          <w:rFonts w:ascii="Times New Roman"/>
        </w:rPr>
        <w:t xml:space="preserve"> TCBC,</w:t>
      </w:r>
      <w:r>
        <w:rPr>
          <w:rFonts w:ascii="Times New Roman"/>
          <w:b/>
          <w:bCs/>
          <w:rtl/>
          <w:lang w:val="ar-SA"/>
        </w:rPr>
        <w:t xml:space="preserve"> </w:t>
      </w:r>
      <w:r>
        <w:rPr>
          <w:rFonts w:ascii="Times New Roman"/>
        </w:rPr>
        <w:t>Institute of Dentistry, University of Turku, Turku, Finland</w:t>
      </w:r>
    </w:p>
    <w:p w:rsidR="002B2028" w:rsidRDefault="00A45ADA">
      <w:pPr>
        <w:pStyle w:val="Body"/>
        <w:spacing w:line="360" w:lineRule="auto"/>
        <w:jc w:val="both"/>
      </w:pPr>
      <w:r>
        <w:rPr>
          <w:rFonts w:ascii="Times New Roman"/>
          <w:vertAlign w:val="superscript"/>
        </w:rPr>
        <w:t xml:space="preserve">3 </w:t>
      </w:r>
      <w:r>
        <w:rPr>
          <w:rFonts w:ascii="Times New Roman"/>
        </w:rPr>
        <w:t>Department of Removable Partial Prosthodontics Rehabilitation, Tokyo Medical and Dental University, Tokyo, Japan</w:t>
      </w:r>
    </w:p>
    <w:p w:rsidR="002B2028" w:rsidRDefault="00A45ADA">
      <w:pPr>
        <w:pStyle w:val="Body"/>
        <w:spacing w:line="360" w:lineRule="auto"/>
        <w:ind w:left="181" w:hanging="181"/>
        <w:jc w:val="both"/>
      </w:pPr>
      <w:r>
        <w:rPr>
          <w:rFonts w:ascii="Times New Roman"/>
          <w:vertAlign w:val="superscript"/>
        </w:rPr>
        <w:t xml:space="preserve">4 </w:t>
      </w:r>
      <w:r>
        <w:rPr>
          <w:rFonts w:ascii="Times New Roman"/>
        </w:rPr>
        <w:t>Library Services, UCL Eastman Dental Institute, London, United Kingdom</w:t>
      </w:r>
    </w:p>
    <w:p w:rsidR="002B2028" w:rsidRDefault="00A45ADA">
      <w:pPr>
        <w:pStyle w:val="Body"/>
        <w:spacing w:line="360" w:lineRule="auto"/>
        <w:ind w:left="181" w:hanging="181"/>
        <w:jc w:val="both"/>
        <w:rPr>
          <w:rFonts w:ascii="Times New Roman"/>
        </w:rPr>
      </w:pPr>
      <w:r>
        <w:rPr>
          <w:rFonts w:ascii="Times New Roman"/>
          <w:vertAlign w:val="superscript"/>
        </w:rPr>
        <w:t xml:space="preserve">5 </w:t>
      </w:r>
      <w:r>
        <w:rPr>
          <w:rFonts w:ascii="Times New Roman"/>
        </w:rPr>
        <w:t>Department of Periodontics and Oral Medicine, University of Michigan School of Dentistry, Ann Arbor, MI, USA</w:t>
      </w:r>
    </w:p>
    <w:p w:rsidR="00AE1422" w:rsidRDefault="00B4727C">
      <w:pPr>
        <w:pStyle w:val="Body"/>
        <w:spacing w:line="360" w:lineRule="auto"/>
        <w:ind w:left="181" w:hanging="181"/>
        <w:jc w:val="both"/>
      </w:pPr>
      <w:r>
        <w:rPr>
          <w:rFonts w:ascii="Times New Roman"/>
          <w:vertAlign w:val="superscript"/>
        </w:rPr>
        <w:t xml:space="preserve">6 </w:t>
      </w:r>
      <w:r w:rsidR="00AE1422">
        <w:rPr>
          <w:rFonts w:ascii="Times New Roman"/>
        </w:rPr>
        <w:t xml:space="preserve">Clinical Oral Research Centre, Institute of Dentistry, </w:t>
      </w:r>
      <w:r>
        <w:rPr>
          <w:rFonts w:ascii="Times New Roman"/>
        </w:rPr>
        <w:t>Queen Mary University London (</w:t>
      </w:r>
      <w:r w:rsidR="00AE1422">
        <w:rPr>
          <w:rFonts w:ascii="Times New Roman"/>
        </w:rPr>
        <w:t>QMUL</w:t>
      </w:r>
      <w:r>
        <w:rPr>
          <w:rFonts w:ascii="Times New Roman"/>
        </w:rPr>
        <w:t>), London, United Kingdom</w:t>
      </w:r>
    </w:p>
    <w:p w:rsidR="002B2028" w:rsidRDefault="002B2028">
      <w:pPr>
        <w:pStyle w:val="Body"/>
        <w:spacing w:line="360" w:lineRule="auto"/>
        <w:jc w:val="both"/>
        <w:rPr>
          <w:rFonts w:ascii="Times New Roman" w:eastAsia="Times New Roman" w:hAnsi="Times New Roman" w:cs="Times New Roman"/>
        </w:rPr>
      </w:pPr>
    </w:p>
    <w:p w:rsidR="002B2028" w:rsidRDefault="002B2028">
      <w:pPr>
        <w:pStyle w:val="Body"/>
        <w:spacing w:line="360" w:lineRule="auto"/>
        <w:jc w:val="both"/>
        <w:rPr>
          <w:rFonts w:ascii="Times New Roman" w:eastAsia="Times New Roman" w:hAnsi="Times New Roman" w:cs="Times New Roman"/>
        </w:rPr>
      </w:pPr>
    </w:p>
    <w:p w:rsidR="002B2028" w:rsidRDefault="002B2028">
      <w:pPr>
        <w:pStyle w:val="Body"/>
        <w:jc w:val="both"/>
        <w:rPr>
          <w:rFonts w:ascii="Times New Roman" w:eastAsia="Times New Roman" w:hAnsi="Times New Roman" w:cs="Times New Roman"/>
        </w:rPr>
      </w:pPr>
    </w:p>
    <w:p w:rsidR="002B2028" w:rsidRPr="00B4727C" w:rsidRDefault="00A45ADA">
      <w:pPr>
        <w:pStyle w:val="Body"/>
        <w:rPr>
          <w:rFonts w:ascii="Times New Roman" w:hAnsi="Times New Roman" w:cs="Times New Roman"/>
        </w:rPr>
      </w:pPr>
      <w:r w:rsidRPr="00B4727C">
        <w:rPr>
          <w:rFonts w:ascii="Times New Roman" w:hAnsi="Times New Roman" w:cs="Times New Roman"/>
        </w:rPr>
        <w:t xml:space="preserve">Corresponding author: </w:t>
      </w:r>
      <w:r w:rsidRPr="00B4727C">
        <w:rPr>
          <w:rFonts w:ascii="Times New Roman" w:hAnsi="Times New Roman" w:cs="Times New Roman"/>
        </w:rPr>
        <w:tab/>
      </w:r>
    </w:p>
    <w:p w:rsidR="002B2028" w:rsidRPr="00B4727C" w:rsidRDefault="00A45ADA">
      <w:pPr>
        <w:pStyle w:val="Body"/>
        <w:rPr>
          <w:rFonts w:ascii="Times New Roman" w:hAnsi="Times New Roman" w:cs="Times New Roman"/>
        </w:rPr>
      </w:pPr>
      <w:r w:rsidRPr="00B4727C">
        <w:rPr>
          <w:rFonts w:ascii="Times New Roman" w:hAnsi="Times New Roman" w:cs="Times New Roman"/>
          <w:lang w:val="nl-NL"/>
        </w:rPr>
        <w:t>Luigi Nibali</w:t>
      </w:r>
    </w:p>
    <w:p w:rsidR="002B2028" w:rsidRPr="00B4727C" w:rsidRDefault="00A45ADA">
      <w:pPr>
        <w:pStyle w:val="Body"/>
        <w:rPr>
          <w:rFonts w:ascii="Times New Roman" w:hAnsi="Times New Roman" w:cs="Times New Roman"/>
        </w:rPr>
      </w:pPr>
      <w:r w:rsidRPr="00B4727C">
        <w:rPr>
          <w:rFonts w:ascii="Times New Roman" w:hAnsi="Times New Roman" w:cs="Times New Roman"/>
        </w:rPr>
        <w:t xml:space="preserve">Periodontology Unit and Department of Clinical Research </w:t>
      </w:r>
    </w:p>
    <w:p w:rsidR="002B2028" w:rsidRPr="00B4727C" w:rsidRDefault="00A45ADA">
      <w:pPr>
        <w:pStyle w:val="Body"/>
        <w:rPr>
          <w:rFonts w:ascii="Times New Roman" w:hAnsi="Times New Roman" w:cs="Times New Roman"/>
        </w:rPr>
      </w:pPr>
      <w:r w:rsidRPr="00B4727C">
        <w:rPr>
          <w:rFonts w:ascii="Times New Roman" w:hAnsi="Times New Roman" w:cs="Times New Roman"/>
        </w:rPr>
        <w:t>UCL Eastman Dental Institute</w:t>
      </w:r>
    </w:p>
    <w:p w:rsidR="002B2028" w:rsidRPr="00B4727C" w:rsidRDefault="00A45ADA">
      <w:pPr>
        <w:pStyle w:val="Body"/>
        <w:rPr>
          <w:rFonts w:ascii="Times New Roman" w:hAnsi="Times New Roman" w:cs="Times New Roman"/>
        </w:rPr>
      </w:pPr>
      <w:r w:rsidRPr="00B4727C">
        <w:rPr>
          <w:rFonts w:ascii="Times New Roman" w:hAnsi="Times New Roman" w:cs="Times New Roman"/>
        </w:rPr>
        <w:t>University College London</w:t>
      </w:r>
    </w:p>
    <w:p w:rsidR="002B2028" w:rsidRPr="00B4727C" w:rsidRDefault="00A45ADA">
      <w:pPr>
        <w:pStyle w:val="Body"/>
        <w:rPr>
          <w:rFonts w:ascii="Times New Roman" w:hAnsi="Times New Roman" w:cs="Times New Roman"/>
        </w:rPr>
      </w:pPr>
      <w:r w:rsidRPr="00B4727C">
        <w:rPr>
          <w:rFonts w:ascii="Times New Roman" w:hAnsi="Times New Roman" w:cs="Times New Roman"/>
        </w:rPr>
        <w:t>256 Gray’s Inn Road</w:t>
      </w:r>
    </w:p>
    <w:p w:rsidR="002B2028" w:rsidRPr="00B4727C" w:rsidRDefault="00A45ADA">
      <w:pPr>
        <w:pStyle w:val="Body"/>
        <w:rPr>
          <w:rFonts w:ascii="Times New Roman" w:hAnsi="Times New Roman" w:cs="Times New Roman"/>
        </w:rPr>
      </w:pPr>
      <w:r w:rsidRPr="00B4727C">
        <w:rPr>
          <w:rFonts w:ascii="Times New Roman" w:hAnsi="Times New Roman" w:cs="Times New Roman"/>
          <w:lang w:val="de-DE"/>
        </w:rPr>
        <w:t>London WC1X 8LD</w:t>
      </w:r>
    </w:p>
    <w:p w:rsidR="002B2028" w:rsidRPr="00B4727C" w:rsidRDefault="00A45ADA">
      <w:pPr>
        <w:pStyle w:val="Body"/>
        <w:rPr>
          <w:rFonts w:ascii="Times New Roman" w:hAnsi="Times New Roman" w:cs="Times New Roman"/>
        </w:rPr>
      </w:pPr>
      <w:r w:rsidRPr="00B4727C">
        <w:rPr>
          <w:rFonts w:ascii="Times New Roman" w:hAnsi="Times New Roman" w:cs="Times New Roman"/>
        </w:rPr>
        <w:t>Tel.: 0044 203456 1086</w:t>
      </w:r>
    </w:p>
    <w:p w:rsidR="002B2028" w:rsidRPr="00B4727C" w:rsidRDefault="00A45ADA">
      <w:pPr>
        <w:pStyle w:val="Body"/>
        <w:rPr>
          <w:rFonts w:ascii="Times New Roman" w:hAnsi="Times New Roman" w:cs="Times New Roman"/>
        </w:rPr>
      </w:pPr>
      <w:r w:rsidRPr="00B4727C">
        <w:rPr>
          <w:rFonts w:ascii="Times New Roman" w:hAnsi="Times New Roman" w:cs="Times New Roman"/>
        </w:rPr>
        <w:t>Fax: 0044 203456 1137</w:t>
      </w:r>
    </w:p>
    <w:p w:rsidR="002B2028" w:rsidRPr="00B4727C" w:rsidRDefault="00A45ADA">
      <w:pPr>
        <w:pStyle w:val="Body"/>
        <w:rPr>
          <w:rFonts w:ascii="Times New Roman" w:hAnsi="Times New Roman" w:cs="Times New Roman"/>
        </w:rPr>
      </w:pPr>
      <w:r w:rsidRPr="00B4727C">
        <w:rPr>
          <w:rFonts w:ascii="Times New Roman" w:hAnsi="Times New Roman" w:cs="Times New Roman"/>
        </w:rPr>
        <w:t xml:space="preserve">l.nibali@ucl.ac.uk  </w:t>
      </w:r>
    </w:p>
    <w:p w:rsidR="002B2028" w:rsidRDefault="002B2028">
      <w:pPr>
        <w:pStyle w:val="Body"/>
        <w:spacing w:line="360" w:lineRule="auto"/>
        <w:jc w:val="center"/>
        <w:rPr>
          <w:rFonts w:ascii="Times New Roman" w:eastAsia="Times New Roman" w:hAnsi="Times New Roman" w:cs="Times New Roman"/>
        </w:rPr>
      </w:pPr>
    </w:p>
    <w:p w:rsidR="002B2028" w:rsidRDefault="00A45ADA">
      <w:pPr>
        <w:pStyle w:val="Body"/>
        <w:spacing w:line="360" w:lineRule="auto"/>
        <w:jc w:val="center"/>
      </w:pPr>
      <w:r>
        <w:rPr>
          <w:rFonts w:ascii="Times New Roman"/>
          <w:b/>
          <w:bCs/>
        </w:rPr>
        <w:t>KEYWORDS</w:t>
      </w:r>
      <w:r>
        <w:rPr>
          <w:rFonts w:ascii="Times New Roman"/>
        </w:rPr>
        <w:t>: furcation, treatment, progression, tooth loss</w:t>
      </w:r>
    </w:p>
    <w:p w:rsidR="002B2028" w:rsidRDefault="00A45ADA">
      <w:pPr>
        <w:pStyle w:val="Body"/>
        <w:spacing w:line="360" w:lineRule="auto"/>
        <w:jc w:val="both"/>
      </w:pPr>
      <w:r>
        <w:rPr>
          <w:rFonts w:ascii="Times New Roman"/>
        </w:rPr>
        <w:t>Number of references: 44</w:t>
      </w:r>
    </w:p>
    <w:p w:rsidR="002B2028" w:rsidRDefault="00A45ADA">
      <w:pPr>
        <w:pStyle w:val="Body"/>
        <w:spacing w:line="360" w:lineRule="auto"/>
        <w:jc w:val="both"/>
      </w:pPr>
      <w:r>
        <w:rPr>
          <w:rFonts w:ascii="Times New Roman"/>
        </w:rPr>
        <w:t>Abstract word count: 2</w:t>
      </w:r>
      <w:r w:rsidR="00243639">
        <w:rPr>
          <w:rFonts w:ascii="Times New Roman"/>
        </w:rPr>
        <w:t>00</w:t>
      </w:r>
      <w:bookmarkStart w:id="0" w:name="_GoBack"/>
      <w:bookmarkEnd w:id="0"/>
    </w:p>
    <w:p w:rsidR="002B2028" w:rsidRDefault="00A45ADA">
      <w:pPr>
        <w:pStyle w:val="Body"/>
        <w:spacing w:line="360" w:lineRule="auto"/>
        <w:jc w:val="both"/>
      </w:pPr>
      <w:r>
        <w:rPr>
          <w:rFonts w:ascii="Times New Roman"/>
        </w:rPr>
        <w:t>Total word count: 3908</w:t>
      </w:r>
    </w:p>
    <w:p w:rsidR="002B2028" w:rsidRDefault="00A45ADA">
      <w:pPr>
        <w:pStyle w:val="Body"/>
        <w:spacing w:line="360" w:lineRule="auto"/>
        <w:jc w:val="both"/>
      </w:pPr>
      <w:r>
        <w:rPr>
          <w:rFonts w:ascii="Times New Roman"/>
        </w:rPr>
        <w:t>Number of tables: 3</w:t>
      </w:r>
    </w:p>
    <w:p w:rsidR="002B2028" w:rsidRDefault="00243639">
      <w:pPr>
        <w:pStyle w:val="Body"/>
        <w:spacing w:line="360" w:lineRule="auto"/>
        <w:jc w:val="both"/>
      </w:pPr>
      <w:r>
        <w:rPr>
          <w:rFonts w:ascii="Times New Roman"/>
        </w:rPr>
        <w:t>Number of figures: 4</w:t>
      </w:r>
    </w:p>
    <w:p w:rsidR="002B2028" w:rsidRDefault="00A45ADA">
      <w:pPr>
        <w:pStyle w:val="BodyA"/>
        <w:spacing w:line="480" w:lineRule="auto"/>
        <w:jc w:val="both"/>
        <w:rPr>
          <w:rFonts w:ascii="Times New Roman" w:eastAsia="Times New Roman" w:hAnsi="Times New Roman" w:cs="Times New Roman"/>
        </w:rPr>
      </w:pPr>
      <w:r w:rsidRPr="00B4727C">
        <w:rPr>
          <w:rFonts w:ascii="Times New Roman"/>
          <w:b/>
        </w:rPr>
        <w:lastRenderedPageBreak/>
        <w:t>FUNDING</w:t>
      </w:r>
      <w:r>
        <w:rPr>
          <w:rFonts w:ascii="Times New Roman"/>
        </w:rPr>
        <w:t xml:space="preserve">: No specific funding was obtained for the analysis reported in this paper. </w:t>
      </w:r>
    </w:p>
    <w:p w:rsidR="002B2028" w:rsidRDefault="00A45ADA">
      <w:pPr>
        <w:pStyle w:val="BodyA"/>
        <w:tabs>
          <w:tab w:val="left" w:pos="360"/>
        </w:tabs>
        <w:spacing w:line="360" w:lineRule="auto"/>
        <w:ind w:right="4"/>
        <w:jc w:val="both"/>
        <w:rPr>
          <w:rFonts w:ascii="Times New Roman" w:eastAsia="Times New Roman" w:hAnsi="Times New Roman" w:cs="Times New Roman"/>
        </w:rPr>
      </w:pPr>
      <w:r>
        <w:rPr>
          <w:rFonts w:ascii="Times New Roman"/>
          <w:b/>
          <w:bCs/>
        </w:rPr>
        <w:t>CONFLICTS OF INTEREST</w:t>
      </w:r>
      <w:r>
        <w:rPr>
          <w:rFonts w:ascii="Times New Roman"/>
        </w:rPr>
        <w:t>: The authors declare no conflicts of interest.</w:t>
      </w:r>
    </w:p>
    <w:p w:rsidR="002B2028" w:rsidRDefault="002B2028">
      <w:pPr>
        <w:pStyle w:val="Body"/>
        <w:rPr>
          <w:b/>
          <w:bCs/>
          <w:sz w:val="28"/>
          <w:szCs w:val="28"/>
        </w:rPr>
      </w:pPr>
    </w:p>
    <w:p w:rsidR="002B2028" w:rsidRDefault="00A45ADA">
      <w:pPr>
        <w:pStyle w:val="Body"/>
        <w:spacing w:line="360" w:lineRule="auto"/>
        <w:jc w:val="center"/>
        <w:rPr>
          <w:b/>
          <w:bCs/>
        </w:rPr>
      </w:pPr>
      <w:r>
        <w:rPr>
          <w:rFonts w:ascii="Times New Roman"/>
          <w:b/>
          <w:bCs/>
          <w:lang w:val="de-DE"/>
        </w:rPr>
        <w:t>ABSTRACT</w:t>
      </w:r>
    </w:p>
    <w:p w:rsidR="002B2028" w:rsidRDefault="00A45ADA">
      <w:pPr>
        <w:pStyle w:val="Body"/>
        <w:spacing w:line="360" w:lineRule="auto"/>
        <w:jc w:val="both"/>
      </w:pPr>
      <w:r>
        <w:rPr>
          <w:rFonts w:ascii="Times New Roman"/>
        </w:rPr>
        <w:t xml:space="preserve">BACKGROUND: The aim of this study was to investigate risk of tooth loss in molars with furcation involvement </w:t>
      </w:r>
      <w:r w:rsidR="002369B2">
        <w:rPr>
          <w:rFonts w:ascii="Times New Roman"/>
        </w:rPr>
        <w:t xml:space="preserve">(FI) </w:t>
      </w:r>
      <w:r>
        <w:rPr>
          <w:rFonts w:ascii="Times New Roman"/>
        </w:rPr>
        <w:t xml:space="preserve">based on initial diagnosis. </w:t>
      </w:r>
    </w:p>
    <w:p w:rsidR="002B2028" w:rsidRDefault="00A45ADA">
      <w:pPr>
        <w:pStyle w:val="Body"/>
        <w:tabs>
          <w:tab w:val="left" w:pos="916"/>
          <w:tab w:val="left" w:pos="1832"/>
          <w:tab w:val="left" w:pos="2748"/>
          <w:tab w:val="left" w:pos="3664"/>
          <w:tab w:val="left" w:pos="4580"/>
          <w:tab w:val="left" w:pos="5496"/>
          <w:tab w:val="left" w:pos="6412"/>
          <w:tab w:val="left" w:pos="7328"/>
          <w:tab w:val="left" w:pos="8244"/>
          <w:tab w:val="left" w:pos="8520"/>
        </w:tabs>
        <w:spacing w:line="360" w:lineRule="auto"/>
        <w:jc w:val="both"/>
      </w:pPr>
      <w:r>
        <w:rPr>
          <w:rFonts w:ascii="Times New Roman"/>
        </w:rPr>
        <w:t xml:space="preserve">MATERIALS AND METHODS: A systematic search of the literature was conducted in Ovid Medline, </w:t>
      </w:r>
      <w:proofErr w:type="spellStart"/>
      <w:r>
        <w:rPr>
          <w:rFonts w:ascii="Times New Roman"/>
        </w:rPr>
        <w:t>Embase</w:t>
      </w:r>
      <w:proofErr w:type="spellEnd"/>
      <w:r>
        <w:rPr>
          <w:rFonts w:ascii="Times New Roman"/>
        </w:rPr>
        <w:t xml:space="preserve">, LILACS and Cochrane Library for longitudinal studies with at least 3 years follow-up including measures of </w:t>
      </w:r>
      <w:r w:rsidR="002369B2">
        <w:rPr>
          <w:rFonts w:ascii="Times New Roman"/>
        </w:rPr>
        <w:t>FI</w:t>
      </w:r>
      <w:r>
        <w:rPr>
          <w:rFonts w:ascii="Times New Roman"/>
        </w:rPr>
        <w:t xml:space="preserve"> and data on tooth loss. </w:t>
      </w:r>
    </w:p>
    <w:p w:rsidR="002B2028" w:rsidRDefault="00A45ADA">
      <w:pPr>
        <w:pStyle w:val="Body"/>
        <w:spacing w:line="360" w:lineRule="auto"/>
        <w:jc w:val="both"/>
      </w:pPr>
      <w:r>
        <w:rPr>
          <w:rFonts w:ascii="Times New Roman"/>
        </w:rPr>
        <w:t xml:space="preserve">RESULTS: A total of 21 studies were included in the review, from an initial search of 1207 titles. The risk of tooth loss during maintenance therapy attributable to </w:t>
      </w:r>
      <w:r w:rsidR="002369B2">
        <w:rPr>
          <w:rFonts w:ascii="Times New Roman"/>
        </w:rPr>
        <w:t>FI</w:t>
      </w:r>
      <w:r>
        <w:rPr>
          <w:rFonts w:ascii="Times New Roman"/>
        </w:rPr>
        <w:t xml:space="preserve"> was OR=1.53 (95% CI= 0.99 to 2.35, p= 0.05) for studies up to 10 years</w:t>
      </w:r>
      <w:r w:rsidR="002369B2">
        <w:rPr>
          <w:rFonts w:ascii="Times New Roman"/>
        </w:rPr>
        <w:t xml:space="preserve"> and</w:t>
      </w:r>
      <w:r>
        <w:rPr>
          <w:rFonts w:ascii="Times New Roman"/>
        </w:rPr>
        <w:t xml:space="preserve"> 2.71 (95% C.I. = 2.08- 3.54, p&lt;0.0001) for studies with a follow-up of 10-15 years. A gradual increase in the risk of tooth loss was observed for molars with degree II and III </w:t>
      </w:r>
      <w:r w:rsidR="002369B2">
        <w:rPr>
          <w:rFonts w:ascii="Times New Roman"/>
        </w:rPr>
        <w:t>FI</w:t>
      </w:r>
      <w:r>
        <w:rPr>
          <w:rFonts w:ascii="Times New Roman"/>
        </w:rPr>
        <w:t xml:space="preserve">.  </w:t>
      </w:r>
    </w:p>
    <w:p w:rsidR="002B2028" w:rsidRDefault="00A45ADA">
      <w:pPr>
        <w:pStyle w:val="Body"/>
        <w:spacing w:line="360" w:lineRule="auto"/>
        <w:jc w:val="both"/>
      </w:pPr>
      <w:r>
        <w:rPr>
          <w:rFonts w:ascii="Times New Roman"/>
        </w:rPr>
        <w:t xml:space="preserve">CONCLUSIONS: The presence of </w:t>
      </w:r>
      <w:r w:rsidR="002369B2">
        <w:rPr>
          <w:rFonts w:ascii="Times New Roman"/>
        </w:rPr>
        <w:t>FI</w:t>
      </w:r>
      <w:r>
        <w:rPr>
          <w:rFonts w:ascii="Times New Roman"/>
        </w:rPr>
        <w:t xml:space="preserve"> approximately doubles the risk of tooth loss for molars maintained in supportive periodontal therapy for up to 10-15 years. However, most molars, even with grade III </w:t>
      </w:r>
      <w:r w:rsidR="002369B2">
        <w:rPr>
          <w:rFonts w:ascii="Times New Roman"/>
        </w:rPr>
        <w:t>FI</w:t>
      </w:r>
      <w:r>
        <w:rPr>
          <w:rFonts w:ascii="Times New Roman"/>
        </w:rPr>
        <w:t xml:space="preserve"> respond well to periodontal therapy, suggesting that every effort should be made to maintain these teeth when possible. Long-term studies reporting patient-reported outcomes are needed to substantiate this conclusion.</w:t>
      </w:r>
    </w:p>
    <w:p w:rsidR="002B2028" w:rsidRDefault="002B2028">
      <w:pPr>
        <w:pStyle w:val="Body"/>
        <w:rPr>
          <w:b/>
          <w:bCs/>
        </w:rPr>
      </w:pPr>
    </w:p>
    <w:p w:rsidR="002B2028" w:rsidRDefault="00A45ADA">
      <w:pPr>
        <w:pStyle w:val="BodyA"/>
        <w:spacing w:line="360" w:lineRule="auto"/>
        <w:jc w:val="both"/>
        <w:rPr>
          <w:rFonts w:ascii="Times New Roman" w:eastAsia="Times New Roman" w:hAnsi="Times New Roman" w:cs="Times New Roman"/>
        </w:rPr>
      </w:pPr>
      <w:r>
        <w:rPr>
          <w:rFonts w:ascii="Times New Roman"/>
          <w:b/>
          <w:bCs/>
        </w:rPr>
        <w:t>CLINICAL RELEVANCE</w:t>
      </w:r>
      <w:r>
        <w:rPr>
          <w:rFonts w:ascii="Times New Roman"/>
        </w:rPr>
        <w:t>:</w:t>
      </w:r>
    </w:p>
    <w:p w:rsidR="002B2028" w:rsidRDefault="00A45ADA">
      <w:pPr>
        <w:pStyle w:val="BodyA"/>
        <w:jc w:val="both"/>
        <w:rPr>
          <w:rFonts w:ascii="Times New Roman" w:eastAsia="Times New Roman" w:hAnsi="Times New Roman" w:cs="Times New Roman"/>
        </w:rPr>
      </w:pPr>
      <w:r>
        <w:rPr>
          <w:rFonts w:ascii="Times New Roman"/>
        </w:rPr>
        <w:t>Scientific rationale for the study: Molars affected by furcation involvement are thought to have a high risk of progression.</w:t>
      </w:r>
    </w:p>
    <w:p w:rsidR="002B2028" w:rsidRDefault="00A45ADA">
      <w:pPr>
        <w:pStyle w:val="BodyA"/>
        <w:jc w:val="both"/>
        <w:rPr>
          <w:rFonts w:ascii="Times New Roman" w:eastAsia="Times New Roman" w:hAnsi="Times New Roman" w:cs="Times New Roman"/>
        </w:rPr>
      </w:pPr>
      <w:r>
        <w:rPr>
          <w:rFonts w:ascii="Times New Roman"/>
        </w:rPr>
        <w:t>Principal findings: Furcation involvement represents a risk for tooth loss. However, even teeth with degree III furcation involvement have good survival rates in supportive periodontal care.</w:t>
      </w:r>
    </w:p>
    <w:p w:rsidR="002B2028" w:rsidRDefault="00A45ADA">
      <w:pPr>
        <w:pStyle w:val="Body"/>
        <w:jc w:val="both"/>
      </w:pPr>
      <w:r>
        <w:rPr>
          <w:rFonts w:ascii="Times New Roman"/>
        </w:rPr>
        <w:t>Practical implications: Accurate periodontal therapy and maintenance care should be planned for teeth even with severe furcation involvement, although recognizing their higher risk of long-term tooth loss.</w:t>
      </w:r>
      <w:r>
        <w:rPr>
          <w:b/>
          <w:bCs/>
        </w:rPr>
        <w:br w:type="page"/>
      </w:r>
    </w:p>
    <w:p w:rsidR="002B2028" w:rsidRDefault="002B2028">
      <w:pPr>
        <w:pStyle w:val="Body"/>
        <w:jc w:val="both"/>
        <w:rPr>
          <w:b/>
          <w:bCs/>
        </w:rPr>
      </w:pPr>
    </w:p>
    <w:p w:rsidR="002B2028" w:rsidRDefault="002B2028">
      <w:pPr>
        <w:pStyle w:val="Body"/>
        <w:rPr>
          <w:b/>
          <w:bCs/>
        </w:rPr>
      </w:pPr>
    </w:p>
    <w:p w:rsidR="002B2028" w:rsidRDefault="00A45ADA">
      <w:pPr>
        <w:pStyle w:val="Body"/>
        <w:spacing w:line="360" w:lineRule="auto"/>
        <w:jc w:val="both"/>
        <w:rPr>
          <w:b/>
          <w:bCs/>
        </w:rPr>
      </w:pPr>
      <w:r>
        <w:rPr>
          <w:rFonts w:ascii="Times New Roman"/>
          <w:b/>
          <w:bCs/>
          <w:lang w:val="de-DE"/>
        </w:rPr>
        <w:t>BACKGROUND</w:t>
      </w:r>
    </w:p>
    <w:p w:rsidR="002B2028" w:rsidRDefault="00A45ADA">
      <w:pPr>
        <w:pStyle w:val="BodyAA"/>
        <w:tabs>
          <w:tab w:val="left" w:pos="916"/>
          <w:tab w:val="left" w:pos="1832"/>
          <w:tab w:val="left" w:pos="2748"/>
          <w:tab w:val="left" w:pos="3664"/>
          <w:tab w:val="left" w:pos="4580"/>
          <w:tab w:val="left" w:pos="5496"/>
          <w:tab w:val="left" w:pos="6412"/>
          <w:tab w:val="left" w:pos="7328"/>
          <w:tab w:val="left" w:pos="8244"/>
          <w:tab w:val="left" w:pos="8520"/>
        </w:tabs>
        <w:spacing w:after="0" w:line="360" w:lineRule="auto"/>
        <w:jc w:val="both"/>
        <w:rPr>
          <w:rFonts w:ascii="Times New Roman" w:eastAsia="Times New Roman" w:hAnsi="Times New Roman" w:cs="Times New Roman"/>
          <w:sz w:val="24"/>
          <w:szCs w:val="24"/>
        </w:rPr>
      </w:pPr>
      <w:r>
        <w:rPr>
          <w:rFonts w:ascii="Times New Roman"/>
          <w:sz w:val="24"/>
          <w:szCs w:val="24"/>
        </w:rPr>
        <w:t xml:space="preserve">Periodontitis affects the supporting apparatus of the teeth, leading to apical migration of the epithelial attachment and </w:t>
      </w:r>
      <w:proofErr w:type="spellStart"/>
      <w:r>
        <w:rPr>
          <w:rFonts w:ascii="Times New Roman"/>
          <w:sz w:val="24"/>
          <w:szCs w:val="24"/>
        </w:rPr>
        <w:t>resorption</w:t>
      </w:r>
      <w:proofErr w:type="spellEnd"/>
      <w:r>
        <w:rPr>
          <w:rFonts w:ascii="Times New Roman"/>
          <w:sz w:val="24"/>
          <w:szCs w:val="24"/>
        </w:rPr>
        <w:t xml:space="preserve"> of connective tissue and alveolar bone, often resulting in early tooth loss. In multi-rooted teeth, the bone destruction can reach the area of root separation, thus exposing it to microbial colonization. In this occurrence, a </w:t>
      </w:r>
      <w:r>
        <w:rPr>
          <w:rFonts w:hAnsi="Arial Unicode MS"/>
          <w:sz w:val="24"/>
          <w:szCs w:val="24"/>
        </w:rPr>
        <w:t>‘</w:t>
      </w:r>
      <w:r>
        <w:rPr>
          <w:rFonts w:ascii="Times New Roman"/>
          <w:sz w:val="24"/>
          <w:szCs w:val="24"/>
        </w:rPr>
        <w:t>furcation involvement</w:t>
      </w:r>
      <w:r>
        <w:rPr>
          <w:rFonts w:hAnsi="Arial Unicode MS"/>
          <w:sz w:val="24"/>
          <w:szCs w:val="24"/>
        </w:rPr>
        <w:t>’</w:t>
      </w:r>
      <w:r>
        <w:rPr>
          <w:rFonts w:ascii="Trebuchet MS"/>
          <w:sz w:val="24"/>
          <w:szCs w:val="24"/>
        </w:rPr>
        <w:t xml:space="preserve"> </w:t>
      </w:r>
      <w:r>
        <w:rPr>
          <w:rFonts w:ascii="Times New Roman"/>
          <w:sz w:val="24"/>
          <w:szCs w:val="24"/>
        </w:rPr>
        <w:t xml:space="preserve">is created. Furcation involvements or more simply </w:t>
      </w:r>
      <w:r>
        <w:rPr>
          <w:rFonts w:hAnsi="Arial Unicode MS"/>
          <w:sz w:val="24"/>
          <w:szCs w:val="24"/>
        </w:rPr>
        <w:t>‘</w:t>
      </w:r>
      <w:r>
        <w:rPr>
          <w:rFonts w:ascii="Times New Roman"/>
          <w:sz w:val="24"/>
          <w:szCs w:val="24"/>
        </w:rPr>
        <w:t>furcations</w:t>
      </w:r>
      <w:r>
        <w:rPr>
          <w:rFonts w:hAnsi="Arial Unicode MS"/>
          <w:sz w:val="24"/>
          <w:szCs w:val="24"/>
        </w:rPr>
        <w:t>’</w:t>
      </w:r>
      <w:r>
        <w:rPr>
          <w:rFonts w:ascii="Trebuchet MS"/>
          <w:sz w:val="24"/>
          <w:szCs w:val="24"/>
        </w:rPr>
        <w:t xml:space="preserve"> </w:t>
      </w:r>
      <w:r>
        <w:rPr>
          <w:rFonts w:ascii="Times New Roman"/>
          <w:sz w:val="24"/>
          <w:szCs w:val="24"/>
        </w:rPr>
        <w:t>are very common findings in periodontitis cases, with a reported prevalence of 13.7% in the general population in the U.S. (</w:t>
      </w:r>
      <w:proofErr w:type="spellStart"/>
      <w:r>
        <w:rPr>
          <w:rFonts w:ascii="Times New Roman"/>
          <w:sz w:val="24"/>
          <w:szCs w:val="24"/>
        </w:rPr>
        <w:t>Albandar</w:t>
      </w:r>
      <w:proofErr w:type="spellEnd"/>
      <w:r>
        <w:rPr>
          <w:rFonts w:ascii="Times New Roman"/>
          <w:sz w:val="24"/>
          <w:szCs w:val="24"/>
        </w:rPr>
        <w:t xml:space="preserve"> et al. 1999) and in about 30-50% of patients with periodontitis (</w:t>
      </w:r>
      <w:proofErr w:type="spellStart"/>
      <w:r>
        <w:rPr>
          <w:rFonts w:ascii="Times New Roman"/>
          <w:sz w:val="24"/>
          <w:szCs w:val="24"/>
        </w:rPr>
        <w:t>Hirschfeld</w:t>
      </w:r>
      <w:proofErr w:type="spellEnd"/>
      <w:r>
        <w:rPr>
          <w:rFonts w:ascii="Times New Roman"/>
          <w:sz w:val="24"/>
          <w:szCs w:val="24"/>
        </w:rPr>
        <w:t xml:space="preserve"> &amp; Wasserman 1978, </w:t>
      </w:r>
      <w:proofErr w:type="spellStart"/>
      <w:r>
        <w:rPr>
          <w:rFonts w:ascii="Times New Roman"/>
          <w:sz w:val="24"/>
          <w:szCs w:val="24"/>
        </w:rPr>
        <w:t>Svardstrom</w:t>
      </w:r>
      <w:proofErr w:type="spellEnd"/>
      <w:r>
        <w:rPr>
          <w:rFonts w:ascii="Times New Roman"/>
          <w:sz w:val="24"/>
          <w:szCs w:val="24"/>
        </w:rPr>
        <w:t xml:space="preserve"> &amp; </w:t>
      </w:r>
      <w:proofErr w:type="spellStart"/>
      <w:r>
        <w:rPr>
          <w:rFonts w:ascii="Times New Roman"/>
          <w:sz w:val="24"/>
          <w:szCs w:val="24"/>
        </w:rPr>
        <w:t>Wennstrom</w:t>
      </w:r>
      <w:proofErr w:type="spellEnd"/>
      <w:r>
        <w:rPr>
          <w:rFonts w:ascii="Times New Roman"/>
          <w:sz w:val="24"/>
          <w:szCs w:val="24"/>
        </w:rPr>
        <w:t xml:space="preserve"> 1996). Furcation defects are generally classified into degree I, II or III based on the horizontal component of the bony defect (</w:t>
      </w:r>
      <w:proofErr w:type="spellStart"/>
      <w:r>
        <w:rPr>
          <w:rFonts w:ascii="Times New Roman"/>
          <w:sz w:val="24"/>
          <w:szCs w:val="24"/>
        </w:rPr>
        <w:t>Hamp</w:t>
      </w:r>
      <w:proofErr w:type="spellEnd"/>
      <w:r>
        <w:rPr>
          <w:rFonts w:ascii="Times New Roman"/>
          <w:sz w:val="24"/>
          <w:szCs w:val="24"/>
        </w:rPr>
        <w:t xml:space="preserve"> et al. 1975), or in more complex diagnostic systems which take into account root morphology, horizontal and vertical bone loss (Muller &amp; Eger 1999). As for any periodontal lesion, the treatment of furcation-involved teeth involves a non-specific reduction of the bacterial load below the gingival margin (</w:t>
      </w:r>
      <w:proofErr w:type="spellStart"/>
      <w:r>
        <w:rPr>
          <w:rFonts w:ascii="Times New Roman"/>
          <w:sz w:val="24"/>
          <w:szCs w:val="24"/>
        </w:rPr>
        <w:t>Heitz</w:t>
      </w:r>
      <w:proofErr w:type="spellEnd"/>
      <w:r>
        <w:rPr>
          <w:rFonts w:ascii="Times New Roman"/>
          <w:sz w:val="24"/>
          <w:szCs w:val="24"/>
        </w:rPr>
        <w:t xml:space="preserve">-Mayfield et al. 2002), achieved by oral hygiene instructions and non-surgical periodontal therapy (NSPT), and aimed at removing calculus and disrupting the plaque biofilm from the affected root surfaces. However, teeth with furcation involvement (FI) have been shown not to respond as </w:t>
      </w:r>
      <w:proofErr w:type="spellStart"/>
      <w:r>
        <w:rPr>
          <w:rFonts w:ascii="Times New Roman"/>
          <w:sz w:val="24"/>
          <w:szCs w:val="24"/>
        </w:rPr>
        <w:t>favourably</w:t>
      </w:r>
      <w:proofErr w:type="spellEnd"/>
      <w:r>
        <w:rPr>
          <w:rFonts w:ascii="Times New Roman"/>
          <w:sz w:val="24"/>
          <w:szCs w:val="24"/>
        </w:rPr>
        <w:t xml:space="preserve"> to NSPT as teeth with no FI (</w:t>
      </w:r>
      <w:proofErr w:type="spellStart"/>
      <w:r>
        <w:rPr>
          <w:rFonts w:ascii="Times New Roman"/>
          <w:sz w:val="24"/>
          <w:szCs w:val="24"/>
        </w:rPr>
        <w:t>Nordland</w:t>
      </w:r>
      <w:proofErr w:type="spellEnd"/>
      <w:r>
        <w:rPr>
          <w:rFonts w:ascii="Times New Roman"/>
          <w:sz w:val="24"/>
          <w:szCs w:val="24"/>
        </w:rPr>
        <w:t xml:space="preserve"> et al. 1987, Loos et al. 1988), owing to difficulty in cleaning inside the furcation, both for clinician and patient (Lang et al. 1973, Fleischer et al. 1989). More advanced cases such as degree II and III FI may need surgical treatment or extractions. Overall, the evidence suggests that teeth with furcation involvement have a poorer long-term prognosis compared with single-rooted teeth and tooth with no furcation involvement (</w:t>
      </w:r>
      <w:proofErr w:type="spellStart"/>
      <w:r>
        <w:rPr>
          <w:rFonts w:ascii="Times New Roman"/>
          <w:sz w:val="24"/>
          <w:szCs w:val="24"/>
        </w:rPr>
        <w:t>Hirschfeld</w:t>
      </w:r>
      <w:proofErr w:type="spellEnd"/>
      <w:r>
        <w:rPr>
          <w:rFonts w:ascii="Times New Roman"/>
          <w:sz w:val="24"/>
          <w:szCs w:val="24"/>
        </w:rPr>
        <w:t xml:space="preserve"> &amp; Wasserman 1978, </w:t>
      </w:r>
      <w:proofErr w:type="spellStart"/>
      <w:r>
        <w:rPr>
          <w:rFonts w:ascii="Times New Roman"/>
          <w:sz w:val="24"/>
          <w:szCs w:val="24"/>
        </w:rPr>
        <w:t>Mc</w:t>
      </w:r>
      <w:proofErr w:type="spellEnd"/>
      <w:r>
        <w:rPr>
          <w:rFonts w:ascii="Times New Roman"/>
          <w:sz w:val="24"/>
          <w:szCs w:val="24"/>
        </w:rPr>
        <w:t xml:space="preserve"> Fall 1982, Goodson 1994). However, the exact risk of tooth loss according to furcation diagnosis and treatment has not been previously assessed.</w:t>
      </w:r>
    </w:p>
    <w:p w:rsidR="002B2028" w:rsidRDefault="002B2028">
      <w:pPr>
        <w:pStyle w:val="BodyAA"/>
        <w:spacing w:after="0" w:line="360" w:lineRule="auto"/>
        <w:jc w:val="both"/>
        <w:rPr>
          <w:rFonts w:ascii="Times New Roman" w:eastAsia="Times New Roman" w:hAnsi="Times New Roman" w:cs="Times New Roman"/>
          <w:sz w:val="24"/>
          <w:szCs w:val="24"/>
        </w:rPr>
      </w:pPr>
    </w:p>
    <w:p w:rsidR="002B2028" w:rsidRDefault="00A45ADA">
      <w:pPr>
        <w:pStyle w:val="BodyAA"/>
        <w:tabs>
          <w:tab w:val="left" w:pos="916"/>
          <w:tab w:val="left" w:pos="1832"/>
          <w:tab w:val="left" w:pos="2748"/>
          <w:tab w:val="left" w:pos="3664"/>
          <w:tab w:val="left" w:pos="4580"/>
          <w:tab w:val="left" w:pos="5496"/>
          <w:tab w:val="left" w:pos="6412"/>
          <w:tab w:val="left" w:pos="7328"/>
          <w:tab w:val="left" w:pos="8244"/>
          <w:tab w:val="left" w:pos="8520"/>
        </w:tabs>
        <w:spacing w:after="0" w:line="360" w:lineRule="auto"/>
        <w:jc w:val="both"/>
        <w:rPr>
          <w:rFonts w:ascii="Times New Roman" w:eastAsia="Times New Roman" w:hAnsi="Times New Roman" w:cs="Times New Roman"/>
        </w:rPr>
      </w:pPr>
      <w:r>
        <w:rPr>
          <w:rFonts w:ascii="Times New Roman"/>
          <w:sz w:val="24"/>
          <w:szCs w:val="24"/>
        </w:rPr>
        <w:t xml:space="preserve">Tooth survival from resective studies (including </w:t>
      </w:r>
      <w:proofErr w:type="spellStart"/>
      <w:r>
        <w:rPr>
          <w:rFonts w:ascii="Times New Roman"/>
          <w:sz w:val="24"/>
          <w:szCs w:val="24"/>
        </w:rPr>
        <w:t>hemisection</w:t>
      </w:r>
      <w:proofErr w:type="spellEnd"/>
      <w:r>
        <w:rPr>
          <w:rFonts w:ascii="Times New Roman"/>
          <w:sz w:val="24"/>
          <w:szCs w:val="24"/>
        </w:rPr>
        <w:t xml:space="preserve"> and root amputation) varies according to different studies depending on operator, technique, patient and site factors (Buhler 1988, </w:t>
      </w:r>
      <w:proofErr w:type="spellStart"/>
      <w:r>
        <w:rPr>
          <w:rFonts w:ascii="Times New Roman"/>
          <w:sz w:val="24"/>
          <w:szCs w:val="24"/>
        </w:rPr>
        <w:t>Carnevale</w:t>
      </w:r>
      <w:proofErr w:type="spellEnd"/>
      <w:r>
        <w:rPr>
          <w:rFonts w:ascii="Times New Roman"/>
          <w:sz w:val="24"/>
          <w:szCs w:val="24"/>
        </w:rPr>
        <w:t xml:space="preserve"> et al. 1998, Huynh-Ba et al. 2009). More conservative surgical techniques include the creation of a tunnel to facilitate self-performed oral hygiene inside the FI area (</w:t>
      </w:r>
      <w:proofErr w:type="spellStart"/>
      <w:r>
        <w:rPr>
          <w:rFonts w:ascii="Times New Roman"/>
          <w:sz w:val="24"/>
          <w:szCs w:val="24"/>
        </w:rPr>
        <w:t>Hellden</w:t>
      </w:r>
      <w:proofErr w:type="spellEnd"/>
      <w:r>
        <w:rPr>
          <w:rFonts w:ascii="Times New Roman"/>
          <w:sz w:val="24"/>
          <w:szCs w:val="24"/>
        </w:rPr>
        <w:t xml:space="preserve"> et al. 1989). With the emergence of implant therapy, often complex treatment of furcations is rejected in </w:t>
      </w:r>
      <w:proofErr w:type="spellStart"/>
      <w:r>
        <w:rPr>
          <w:rFonts w:ascii="Times New Roman"/>
          <w:sz w:val="24"/>
          <w:szCs w:val="24"/>
        </w:rPr>
        <w:t>favour</w:t>
      </w:r>
      <w:proofErr w:type="spellEnd"/>
      <w:r>
        <w:rPr>
          <w:rFonts w:ascii="Times New Roman"/>
          <w:sz w:val="24"/>
          <w:szCs w:val="24"/>
        </w:rPr>
        <w:t xml:space="preserve"> of extraction and placement of dental implants. However, there </w:t>
      </w:r>
      <w:r>
        <w:rPr>
          <w:rFonts w:ascii="Times New Roman"/>
          <w:sz w:val="24"/>
          <w:szCs w:val="24"/>
        </w:rPr>
        <w:lastRenderedPageBreak/>
        <w:t>is a paucity of data on tooth survival in surgical furcation therapy vs. extraction and implant placement and there are no clear guidelines for furcation therapy (Huynh-Ba et al. 2009). The aim of this systematic review was to appraise the existing literature on periodontal furcation-involved teeth with respect to tooth loss based on initial diagnosis (no furcation/ furcation grade I, II or III) and treatment carried out and to identify areas needing further research.</w:t>
      </w:r>
    </w:p>
    <w:p w:rsidR="002B2028" w:rsidRDefault="002B2028">
      <w:pPr>
        <w:pStyle w:val="BodyAA"/>
        <w:spacing w:after="0" w:line="360" w:lineRule="auto"/>
        <w:jc w:val="both"/>
        <w:rPr>
          <w:rFonts w:ascii="Times New Roman" w:eastAsia="Times New Roman" w:hAnsi="Times New Roman" w:cs="Times New Roman"/>
          <w:sz w:val="24"/>
          <w:szCs w:val="24"/>
        </w:rPr>
      </w:pPr>
    </w:p>
    <w:p w:rsidR="002B2028" w:rsidRDefault="00A45ADA">
      <w:pPr>
        <w:pStyle w:val="Body"/>
        <w:tabs>
          <w:tab w:val="left" w:pos="360"/>
        </w:tabs>
        <w:spacing w:line="360" w:lineRule="auto"/>
        <w:ind w:left="142"/>
        <w:jc w:val="both"/>
      </w:pPr>
      <w:r>
        <w:rPr>
          <w:rFonts w:ascii="Times New Roman"/>
          <w:lang w:val="ru-RU"/>
        </w:rPr>
        <w:t xml:space="preserve">  </w:t>
      </w:r>
    </w:p>
    <w:p w:rsidR="002B2028" w:rsidRDefault="002B2028">
      <w:pPr>
        <w:pStyle w:val="Body"/>
        <w:spacing w:line="360" w:lineRule="auto"/>
        <w:ind w:left="142"/>
        <w:jc w:val="both"/>
        <w:rPr>
          <w:rFonts w:ascii="Times New Roman" w:eastAsia="Times New Roman" w:hAnsi="Times New Roman" w:cs="Times New Roman"/>
        </w:rPr>
      </w:pPr>
    </w:p>
    <w:p w:rsidR="002B2028" w:rsidRDefault="00A45ADA">
      <w:pPr>
        <w:pStyle w:val="Body"/>
        <w:spacing w:line="360" w:lineRule="auto"/>
        <w:jc w:val="both"/>
        <w:rPr>
          <w:b/>
          <w:bCs/>
        </w:rPr>
      </w:pPr>
      <w:r>
        <w:rPr>
          <w:rFonts w:ascii="Times New Roman"/>
          <w:b/>
          <w:bCs/>
          <w:lang w:val="de-DE"/>
        </w:rPr>
        <w:t>MATERIALS AND METHODS</w:t>
      </w:r>
    </w:p>
    <w:p w:rsidR="002B2028" w:rsidRDefault="00A45ADA">
      <w:pPr>
        <w:pStyle w:val="Body"/>
        <w:spacing w:line="360" w:lineRule="auto"/>
        <w:jc w:val="both"/>
      </w:pPr>
      <w:r>
        <w:rPr>
          <w:rFonts w:ascii="Times New Roman"/>
        </w:rPr>
        <w:t>A systematic review protocol was written in the planning stages and the PRISMA checklist (</w:t>
      </w:r>
      <w:proofErr w:type="spellStart"/>
      <w:r>
        <w:rPr>
          <w:rFonts w:ascii="Times New Roman"/>
        </w:rPr>
        <w:t>Moher</w:t>
      </w:r>
      <w:proofErr w:type="spellEnd"/>
      <w:r>
        <w:rPr>
          <w:rFonts w:ascii="Times New Roman"/>
        </w:rPr>
        <w:t xml:space="preserve"> </w:t>
      </w:r>
      <w:r>
        <w:rPr>
          <w:rFonts w:ascii="Times New Roman"/>
          <w:i/>
          <w:iCs/>
        </w:rPr>
        <w:t>et al</w:t>
      </w:r>
      <w:r>
        <w:rPr>
          <w:rFonts w:ascii="Times New Roman"/>
        </w:rPr>
        <w:t>., 2009) was followed both in the planning and reporting of the review (checklist attached as supplemental material 1).</w:t>
      </w:r>
    </w:p>
    <w:p w:rsidR="002B2028" w:rsidRDefault="002B2028">
      <w:pPr>
        <w:pStyle w:val="Body"/>
        <w:spacing w:line="360" w:lineRule="auto"/>
        <w:jc w:val="both"/>
        <w:rPr>
          <w:rFonts w:ascii="Times New Roman" w:eastAsia="Times New Roman" w:hAnsi="Times New Roman" w:cs="Times New Roman"/>
        </w:rPr>
      </w:pPr>
    </w:p>
    <w:p w:rsidR="002B2028" w:rsidRDefault="00A45ADA">
      <w:pPr>
        <w:pStyle w:val="Body"/>
        <w:spacing w:line="360" w:lineRule="auto"/>
        <w:jc w:val="both"/>
        <w:rPr>
          <w:b/>
          <w:bCs/>
          <w:i/>
          <w:iCs/>
        </w:rPr>
      </w:pPr>
      <w:r>
        <w:rPr>
          <w:rFonts w:ascii="Times New Roman"/>
          <w:b/>
          <w:bCs/>
          <w:i/>
          <w:iCs/>
        </w:rPr>
        <w:t>Focused question</w:t>
      </w:r>
    </w:p>
    <w:p w:rsidR="002B2028" w:rsidRDefault="00A45ADA">
      <w:pPr>
        <w:pStyle w:val="Body"/>
        <w:spacing w:line="360" w:lineRule="auto"/>
        <w:jc w:val="both"/>
        <w:rPr>
          <w:b/>
          <w:bCs/>
          <w:i/>
          <w:iCs/>
        </w:rPr>
      </w:pPr>
      <w:r>
        <w:rPr>
          <w:rFonts w:ascii="Times New Roman"/>
        </w:rPr>
        <w:t>The question addressed was the following: What is the risk of tooth loss in teeth with furcation involvement and which factors affect the outcome?</w:t>
      </w:r>
    </w:p>
    <w:p w:rsidR="002B2028" w:rsidRDefault="002B2028">
      <w:pPr>
        <w:pStyle w:val="Body"/>
        <w:spacing w:line="360" w:lineRule="auto"/>
        <w:jc w:val="both"/>
        <w:rPr>
          <w:rFonts w:ascii="Times New Roman" w:eastAsia="Times New Roman" w:hAnsi="Times New Roman" w:cs="Times New Roman"/>
          <w:b/>
          <w:bCs/>
          <w:i/>
          <w:iCs/>
        </w:rPr>
      </w:pPr>
    </w:p>
    <w:p w:rsidR="002B2028" w:rsidRDefault="00A45ADA">
      <w:pPr>
        <w:pStyle w:val="Body"/>
        <w:spacing w:line="360" w:lineRule="auto"/>
        <w:jc w:val="both"/>
        <w:rPr>
          <w:b/>
          <w:bCs/>
          <w:i/>
          <w:iCs/>
        </w:rPr>
      </w:pPr>
      <w:r>
        <w:rPr>
          <w:rFonts w:ascii="Times New Roman"/>
          <w:b/>
          <w:bCs/>
          <w:i/>
          <w:iCs/>
        </w:rPr>
        <w:t>Eligibility criteria</w:t>
      </w:r>
    </w:p>
    <w:p w:rsidR="002B2028" w:rsidRDefault="00A45ADA">
      <w:pPr>
        <w:pStyle w:val="BodyAA"/>
        <w:spacing w:after="0" w:line="360" w:lineRule="auto"/>
        <w:jc w:val="both"/>
        <w:rPr>
          <w:rFonts w:ascii="Times New Roman" w:eastAsia="Times New Roman" w:hAnsi="Times New Roman" w:cs="Times New Roman"/>
          <w:sz w:val="24"/>
          <w:szCs w:val="24"/>
        </w:rPr>
      </w:pPr>
      <w:r>
        <w:rPr>
          <w:rFonts w:ascii="Times New Roman"/>
          <w:sz w:val="24"/>
          <w:szCs w:val="24"/>
        </w:rPr>
        <w:t>Longitudinal human studies in patients with chronic periodontitis (CP) presenting data on furcation diagnosis and tooth loss were considered eligible. The inclusion criteria were:</w:t>
      </w:r>
    </w:p>
    <w:p w:rsidR="002B2028" w:rsidRDefault="00A45ADA">
      <w:pPr>
        <w:pStyle w:val="BodyAA"/>
        <w:numPr>
          <w:ilvl w:val="1"/>
          <w:numId w:val="3"/>
        </w:numPr>
        <w:tabs>
          <w:tab w:val="clear" w:pos="1411"/>
          <w:tab w:val="left" w:pos="916"/>
          <w:tab w:val="num" w:pos="1383"/>
          <w:tab w:val="left" w:pos="1440"/>
          <w:tab w:val="left" w:pos="1832"/>
          <w:tab w:val="left" w:pos="2748"/>
          <w:tab w:val="left" w:pos="3664"/>
          <w:tab w:val="left" w:pos="4580"/>
          <w:tab w:val="left" w:pos="5496"/>
          <w:tab w:val="left" w:pos="6412"/>
          <w:tab w:val="left" w:pos="7328"/>
          <w:tab w:val="left" w:pos="8244"/>
          <w:tab w:val="left" w:pos="8520"/>
        </w:tabs>
        <w:spacing w:after="0" w:line="360" w:lineRule="auto"/>
        <w:ind w:left="1383" w:hanging="303"/>
        <w:jc w:val="both"/>
        <w:rPr>
          <w:rFonts w:ascii="Times New Roman" w:eastAsia="Times New Roman" w:hAnsi="Times New Roman" w:cs="Times New Roman"/>
        </w:rPr>
      </w:pPr>
      <w:r>
        <w:rPr>
          <w:rFonts w:ascii="Times New Roman"/>
          <w:sz w:val="24"/>
          <w:szCs w:val="24"/>
        </w:rPr>
        <w:t xml:space="preserve">Study designs: longitudinal studies (retrospective or prospective) </w:t>
      </w:r>
    </w:p>
    <w:p w:rsidR="002B2028" w:rsidRDefault="00A45ADA">
      <w:pPr>
        <w:pStyle w:val="BodyAA"/>
        <w:numPr>
          <w:ilvl w:val="1"/>
          <w:numId w:val="6"/>
        </w:numPr>
        <w:tabs>
          <w:tab w:val="clear" w:pos="1411"/>
          <w:tab w:val="left" w:pos="916"/>
          <w:tab w:val="num" w:pos="1383"/>
          <w:tab w:val="left" w:pos="1440"/>
          <w:tab w:val="left" w:pos="1832"/>
          <w:tab w:val="left" w:pos="2748"/>
          <w:tab w:val="left" w:pos="3664"/>
          <w:tab w:val="left" w:pos="4580"/>
          <w:tab w:val="left" w:pos="5496"/>
          <w:tab w:val="left" w:pos="6412"/>
          <w:tab w:val="left" w:pos="7328"/>
          <w:tab w:val="left" w:pos="8244"/>
          <w:tab w:val="left" w:pos="8520"/>
        </w:tabs>
        <w:spacing w:after="0" w:line="360" w:lineRule="auto"/>
        <w:ind w:left="1383" w:hanging="303"/>
        <w:jc w:val="both"/>
        <w:rPr>
          <w:rFonts w:ascii="Times New Roman" w:eastAsia="Times New Roman" w:hAnsi="Times New Roman" w:cs="Times New Roman"/>
        </w:rPr>
      </w:pPr>
      <w:r>
        <w:rPr>
          <w:rFonts w:hAnsi="Arial Unicode MS"/>
          <w:sz w:val="24"/>
          <w:szCs w:val="24"/>
        </w:rPr>
        <w:t>‘</w:t>
      </w:r>
      <w:r>
        <w:rPr>
          <w:rFonts w:ascii="Times New Roman"/>
          <w:sz w:val="24"/>
          <w:szCs w:val="24"/>
        </w:rPr>
        <w:t>Secure</w:t>
      </w:r>
      <w:r>
        <w:rPr>
          <w:rFonts w:hAnsi="Arial Unicode MS"/>
          <w:sz w:val="24"/>
          <w:szCs w:val="24"/>
        </w:rPr>
        <w:t>’</w:t>
      </w:r>
      <w:r>
        <w:rPr>
          <w:rFonts w:ascii="Trebuchet MS"/>
          <w:sz w:val="24"/>
          <w:szCs w:val="24"/>
        </w:rPr>
        <w:t xml:space="preserve"> </w:t>
      </w:r>
      <w:r>
        <w:rPr>
          <w:rFonts w:ascii="Times New Roman"/>
          <w:sz w:val="24"/>
          <w:szCs w:val="24"/>
        </w:rPr>
        <w:t>furcation diagnosis (clinical)</w:t>
      </w:r>
    </w:p>
    <w:p w:rsidR="002B2028" w:rsidRDefault="00A45ADA">
      <w:pPr>
        <w:pStyle w:val="BodyAA"/>
        <w:numPr>
          <w:ilvl w:val="1"/>
          <w:numId w:val="9"/>
        </w:numPr>
        <w:tabs>
          <w:tab w:val="clear" w:pos="1411"/>
          <w:tab w:val="left" w:pos="916"/>
          <w:tab w:val="num" w:pos="1383"/>
          <w:tab w:val="left" w:pos="1440"/>
          <w:tab w:val="left" w:pos="1832"/>
          <w:tab w:val="left" w:pos="2748"/>
          <w:tab w:val="left" w:pos="3664"/>
          <w:tab w:val="left" w:pos="4580"/>
          <w:tab w:val="left" w:pos="5496"/>
          <w:tab w:val="left" w:pos="6412"/>
          <w:tab w:val="left" w:pos="7328"/>
          <w:tab w:val="left" w:pos="8244"/>
          <w:tab w:val="left" w:pos="8520"/>
        </w:tabs>
        <w:spacing w:after="0" w:line="360" w:lineRule="auto"/>
        <w:ind w:left="1383" w:hanging="303"/>
        <w:jc w:val="both"/>
        <w:rPr>
          <w:rFonts w:ascii="Times New Roman" w:eastAsia="Times New Roman" w:hAnsi="Times New Roman" w:cs="Times New Roman"/>
        </w:rPr>
      </w:pPr>
      <w:r>
        <w:rPr>
          <w:rFonts w:ascii="Times New Roman"/>
          <w:sz w:val="24"/>
          <w:szCs w:val="24"/>
        </w:rPr>
        <w:t>Treatment of furcation involvement provided</w:t>
      </w:r>
    </w:p>
    <w:p w:rsidR="002B2028" w:rsidRDefault="00A45ADA">
      <w:pPr>
        <w:pStyle w:val="BodyAA"/>
        <w:numPr>
          <w:ilvl w:val="1"/>
          <w:numId w:val="12"/>
        </w:numPr>
        <w:tabs>
          <w:tab w:val="clear" w:pos="1411"/>
          <w:tab w:val="left" w:pos="916"/>
          <w:tab w:val="num" w:pos="1383"/>
          <w:tab w:val="left" w:pos="1440"/>
          <w:tab w:val="left" w:pos="1832"/>
          <w:tab w:val="left" w:pos="2748"/>
          <w:tab w:val="left" w:pos="3664"/>
          <w:tab w:val="left" w:pos="4580"/>
          <w:tab w:val="left" w:pos="5496"/>
          <w:tab w:val="left" w:pos="6412"/>
          <w:tab w:val="left" w:pos="7328"/>
          <w:tab w:val="left" w:pos="8244"/>
          <w:tab w:val="left" w:pos="8520"/>
        </w:tabs>
        <w:spacing w:after="0" w:line="360" w:lineRule="auto"/>
        <w:ind w:left="1383" w:hanging="303"/>
        <w:jc w:val="both"/>
        <w:rPr>
          <w:rFonts w:ascii="Times New Roman" w:eastAsia="Times New Roman" w:hAnsi="Times New Roman" w:cs="Times New Roman"/>
        </w:rPr>
      </w:pPr>
      <w:r>
        <w:rPr>
          <w:rFonts w:ascii="Times New Roman"/>
          <w:sz w:val="24"/>
          <w:szCs w:val="24"/>
        </w:rPr>
        <w:t>Reporting tooth loss data by furcation diagnosis (furcation vs. no furcation or different degrees of furcation involvement)</w:t>
      </w:r>
    </w:p>
    <w:p w:rsidR="002B2028" w:rsidRDefault="00A45ADA">
      <w:pPr>
        <w:pStyle w:val="BodyAA"/>
        <w:numPr>
          <w:ilvl w:val="1"/>
          <w:numId w:val="15"/>
        </w:numPr>
        <w:tabs>
          <w:tab w:val="clear" w:pos="1411"/>
          <w:tab w:val="left" w:pos="916"/>
          <w:tab w:val="num" w:pos="1383"/>
          <w:tab w:val="left" w:pos="1440"/>
          <w:tab w:val="left" w:pos="1832"/>
          <w:tab w:val="left" w:pos="2748"/>
          <w:tab w:val="left" w:pos="3664"/>
          <w:tab w:val="left" w:pos="4580"/>
          <w:tab w:val="left" w:pos="5496"/>
          <w:tab w:val="left" w:pos="6412"/>
          <w:tab w:val="left" w:pos="7328"/>
          <w:tab w:val="left" w:pos="8244"/>
          <w:tab w:val="left" w:pos="8520"/>
        </w:tabs>
        <w:spacing w:after="0" w:line="360" w:lineRule="auto"/>
        <w:ind w:left="1383" w:hanging="303"/>
        <w:jc w:val="both"/>
        <w:rPr>
          <w:rFonts w:ascii="Times New Roman" w:eastAsia="Times New Roman" w:hAnsi="Times New Roman" w:cs="Times New Roman"/>
        </w:rPr>
      </w:pPr>
      <w:r>
        <w:rPr>
          <w:rFonts w:ascii="Times New Roman"/>
          <w:sz w:val="24"/>
          <w:szCs w:val="24"/>
        </w:rPr>
        <w:t>With a follow-up of at least 3 years</w:t>
      </w:r>
    </w:p>
    <w:p w:rsidR="002B2028" w:rsidRDefault="00A45ADA">
      <w:pPr>
        <w:pStyle w:val="BodyAA"/>
        <w:spacing w:after="0" w:line="360" w:lineRule="auto"/>
        <w:jc w:val="both"/>
        <w:rPr>
          <w:rFonts w:ascii="Times New Roman" w:eastAsia="Times New Roman" w:hAnsi="Times New Roman" w:cs="Times New Roman"/>
          <w:sz w:val="24"/>
          <w:szCs w:val="24"/>
        </w:rPr>
      </w:pPr>
      <w:r>
        <w:rPr>
          <w:rFonts w:ascii="Times New Roman"/>
          <w:sz w:val="24"/>
          <w:szCs w:val="24"/>
        </w:rPr>
        <w:t>The following study designs were excluded:</w:t>
      </w:r>
    </w:p>
    <w:p w:rsidR="002B2028" w:rsidRDefault="00A45ADA">
      <w:pPr>
        <w:pStyle w:val="ListParagraph"/>
        <w:numPr>
          <w:ilvl w:val="0"/>
          <w:numId w:val="18"/>
        </w:numPr>
        <w:tabs>
          <w:tab w:val="num" w:pos="690"/>
          <w:tab w:val="left" w:pos="720"/>
        </w:tabs>
        <w:spacing w:after="0" w:line="360" w:lineRule="auto"/>
        <w:ind w:left="690" w:hanging="330"/>
        <w:jc w:val="both"/>
      </w:pPr>
      <w:r>
        <w:rPr>
          <w:rFonts w:ascii="Times New Roman"/>
        </w:rPr>
        <w:t>Reviews</w:t>
      </w:r>
    </w:p>
    <w:p w:rsidR="002B2028" w:rsidRDefault="00A45ADA">
      <w:pPr>
        <w:pStyle w:val="ListParagraph"/>
        <w:numPr>
          <w:ilvl w:val="0"/>
          <w:numId w:val="21"/>
        </w:numPr>
        <w:tabs>
          <w:tab w:val="num" w:pos="690"/>
          <w:tab w:val="left" w:pos="720"/>
        </w:tabs>
        <w:spacing w:after="0" w:line="360" w:lineRule="auto"/>
        <w:ind w:left="690" w:hanging="330"/>
        <w:jc w:val="both"/>
      </w:pPr>
      <w:r>
        <w:rPr>
          <w:rFonts w:ascii="Times New Roman"/>
        </w:rPr>
        <w:t>Case reports</w:t>
      </w:r>
    </w:p>
    <w:p w:rsidR="002B2028" w:rsidRDefault="00A45ADA">
      <w:pPr>
        <w:pStyle w:val="ListParagraph"/>
        <w:numPr>
          <w:ilvl w:val="0"/>
          <w:numId w:val="24"/>
        </w:numPr>
        <w:tabs>
          <w:tab w:val="num" w:pos="690"/>
          <w:tab w:val="left" w:pos="720"/>
        </w:tabs>
        <w:spacing w:after="0" w:line="360" w:lineRule="auto"/>
        <w:ind w:left="690" w:hanging="330"/>
        <w:jc w:val="both"/>
      </w:pPr>
      <w:r>
        <w:rPr>
          <w:rFonts w:ascii="Times New Roman"/>
        </w:rPr>
        <w:t>Studies focused on aggressive periodontitis (AgP)</w:t>
      </w:r>
    </w:p>
    <w:p w:rsidR="002B2028" w:rsidRDefault="00A45ADA">
      <w:pPr>
        <w:pStyle w:val="ListParagraph"/>
        <w:numPr>
          <w:ilvl w:val="0"/>
          <w:numId w:val="27"/>
        </w:numPr>
        <w:tabs>
          <w:tab w:val="num" w:pos="720"/>
        </w:tabs>
        <w:spacing w:line="360" w:lineRule="auto"/>
        <w:ind w:hanging="360"/>
        <w:jc w:val="both"/>
      </w:pPr>
      <w:r>
        <w:rPr>
          <w:rFonts w:ascii="Times New Roman"/>
        </w:rPr>
        <w:t>Studies on animal models</w:t>
      </w:r>
    </w:p>
    <w:p w:rsidR="002B2028" w:rsidRDefault="00A45ADA">
      <w:pPr>
        <w:pStyle w:val="BodyAA"/>
        <w:spacing w:after="0" w:line="360" w:lineRule="auto"/>
        <w:jc w:val="both"/>
        <w:rPr>
          <w:rFonts w:ascii="Times New Roman" w:eastAsia="Times New Roman" w:hAnsi="Times New Roman" w:cs="Times New Roman"/>
          <w:b/>
          <w:bCs/>
          <w:i/>
          <w:iCs/>
          <w:sz w:val="24"/>
          <w:szCs w:val="24"/>
        </w:rPr>
      </w:pPr>
      <w:r>
        <w:rPr>
          <w:rFonts w:ascii="Times New Roman"/>
          <w:b/>
          <w:bCs/>
          <w:i/>
          <w:iCs/>
          <w:sz w:val="24"/>
          <w:szCs w:val="24"/>
        </w:rPr>
        <w:t>Choice of main outcomes</w:t>
      </w:r>
    </w:p>
    <w:p w:rsidR="002B2028" w:rsidRDefault="00A45ADA">
      <w:pPr>
        <w:pStyle w:val="BodyAA"/>
        <w:spacing w:after="0" w:line="360" w:lineRule="auto"/>
        <w:jc w:val="both"/>
        <w:rPr>
          <w:rFonts w:ascii="Times New Roman" w:eastAsia="Times New Roman" w:hAnsi="Times New Roman" w:cs="Times New Roman"/>
          <w:sz w:val="24"/>
          <w:szCs w:val="24"/>
        </w:rPr>
      </w:pPr>
      <w:r>
        <w:rPr>
          <w:rFonts w:ascii="Times New Roman"/>
          <w:sz w:val="24"/>
          <w:szCs w:val="24"/>
        </w:rPr>
        <w:lastRenderedPageBreak/>
        <w:t xml:space="preserve">Given the predictable heterogeneity of the studies to be included, we chose the most objective outcome </w:t>
      </w:r>
      <w:r>
        <w:rPr>
          <w:rFonts w:hAnsi="Arial Unicode MS"/>
          <w:sz w:val="24"/>
          <w:szCs w:val="24"/>
        </w:rPr>
        <w:t>‘</w:t>
      </w:r>
      <w:r>
        <w:rPr>
          <w:rFonts w:ascii="Times New Roman"/>
          <w:sz w:val="24"/>
          <w:szCs w:val="24"/>
        </w:rPr>
        <w:t>tooth loss</w:t>
      </w:r>
      <w:r>
        <w:rPr>
          <w:rFonts w:hAnsi="Arial Unicode MS"/>
          <w:sz w:val="24"/>
          <w:szCs w:val="24"/>
        </w:rPr>
        <w:t>’</w:t>
      </w:r>
      <w:r>
        <w:rPr>
          <w:rFonts w:ascii="Trebuchet MS"/>
          <w:sz w:val="24"/>
          <w:szCs w:val="24"/>
        </w:rPr>
        <w:t xml:space="preserve"> </w:t>
      </w:r>
      <w:r>
        <w:rPr>
          <w:rFonts w:ascii="Times New Roman"/>
          <w:sz w:val="24"/>
          <w:szCs w:val="24"/>
        </w:rPr>
        <w:t xml:space="preserve">as the most appropriate for this review. In an attempt to reduce risk of bias, although no clear evidence exist on the </w:t>
      </w:r>
      <w:r>
        <w:rPr>
          <w:rFonts w:hAnsi="Arial Unicode MS"/>
          <w:sz w:val="24"/>
          <w:szCs w:val="24"/>
        </w:rPr>
        <w:t>‘</w:t>
      </w:r>
      <w:r>
        <w:rPr>
          <w:rFonts w:ascii="Times New Roman"/>
          <w:sz w:val="24"/>
          <w:szCs w:val="24"/>
        </w:rPr>
        <w:t>gold standard</w:t>
      </w:r>
      <w:r>
        <w:rPr>
          <w:rFonts w:hAnsi="Arial Unicode MS"/>
          <w:sz w:val="24"/>
          <w:szCs w:val="24"/>
        </w:rPr>
        <w:t>’</w:t>
      </w:r>
      <w:r>
        <w:rPr>
          <w:rFonts w:ascii="Trebuchet MS"/>
          <w:sz w:val="24"/>
          <w:szCs w:val="24"/>
        </w:rPr>
        <w:t xml:space="preserve"> </w:t>
      </w:r>
      <w:r>
        <w:rPr>
          <w:rFonts w:ascii="Times New Roman"/>
          <w:sz w:val="24"/>
          <w:szCs w:val="24"/>
        </w:rPr>
        <w:t xml:space="preserve">for furcation diagnosis, for this review we categorized furcation diagnosis as </w:t>
      </w:r>
      <w:r>
        <w:rPr>
          <w:rFonts w:hAnsi="Arial Unicode MS"/>
          <w:sz w:val="24"/>
          <w:szCs w:val="24"/>
        </w:rPr>
        <w:t>‘</w:t>
      </w:r>
      <w:r>
        <w:rPr>
          <w:rFonts w:ascii="Times New Roman"/>
          <w:sz w:val="24"/>
          <w:szCs w:val="24"/>
        </w:rPr>
        <w:t>secure</w:t>
      </w:r>
      <w:r>
        <w:rPr>
          <w:rFonts w:hAnsi="Arial Unicode MS"/>
          <w:sz w:val="24"/>
          <w:szCs w:val="24"/>
        </w:rPr>
        <w:t>’</w:t>
      </w:r>
      <w:r>
        <w:rPr>
          <w:rFonts w:ascii="Trebuchet MS"/>
          <w:sz w:val="24"/>
          <w:szCs w:val="24"/>
        </w:rPr>
        <w:t xml:space="preserve"> </w:t>
      </w:r>
      <w:r>
        <w:rPr>
          <w:rFonts w:ascii="Times New Roman"/>
          <w:sz w:val="24"/>
          <w:szCs w:val="24"/>
        </w:rPr>
        <w:t xml:space="preserve">only if made through clinical measurement with </w:t>
      </w:r>
      <w:proofErr w:type="spellStart"/>
      <w:r>
        <w:rPr>
          <w:rFonts w:ascii="Times New Roman"/>
          <w:sz w:val="24"/>
          <w:szCs w:val="24"/>
        </w:rPr>
        <w:t>Naber</w:t>
      </w:r>
      <w:r>
        <w:rPr>
          <w:rFonts w:hAnsi="Arial Unicode MS"/>
          <w:sz w:val="24"/>
          <w:szCs w:val="24"/>
        </w:rPr>
        <w:t>’</w:t>
      </w:r>
      <w:r>
        <w:rPr>
          <w:rFonts w:ascii="Times New Roman"/>
          <w:sz w:val="24"/>
          <w:szCs w:val="24"/>
        </w:rPr>
        <w:t>s</w:t>
      </w:r>
      <w:proofErr w:type="spellEnd"/>
      <w:r>
        <w:rPr>
          <w:rFonts w:ascii="Times New Roman"/>
          <w:sz w:val="24"/>
          <w:szCs w:val="24"/>
        </w:rPr>
        <w:t xml:space="preserve"> probe or equivalent.</w:t>
      </w:r>
    </w:p>
    <w:p w:rsidR="002B2028" w:rsidRDefault="002B2028">
      <w:pPr>
        <w:pStyle w:val="Body"/>
        <w:spacing w:line="360" w:lineRule="auto"/>
        <w:jc w:val="both"/>
        <w:rPr>
          <w:rFonts w:ascii="Times New Roman" w:eastAsia="Times New Roman" w:hAnsi="Times New Roman" w:cs="Times New Roman"/>
        </w:rPr>
      </w:pPr>
    </w:p>
    <w:p w:rsidR="002B2028" w:rsidRDefault="00A45ADA">
      <w:pPr>
        <w:pStyle w:val="Body"/>
        <w:spacing w:line="360" w:lineRule="auto"/>
        <w:jc w:val="both"/>
        <w:rPr>
          <w:b/>
          <w:bCs/>
          <w:i/>
          <w:iCs/>
        </w:rPr>
      </w:pPr>
      <w:r>
        <w:rPr>
          <w:rFonts w:ascii="Times New Roman"/>
          <w:b/>
          <w:bCs/>
          <w:i/>
          <w:iCs/>
          <w:lang w:val="fr-FR"/>
        </w:rPr>
        <w:t>Information sources</w:t>
      </w:r>
    </w:p>
    <w:p w:rsidR="002B2028" w:rsidRDefault="00A45ADA">
      <w:pPr>
        <w:pStyle w:val="BodyAAA"/>
        <w:spacing w:line="360" w:lineRule="auto"/>
        <w:jc w:val="both"/>
        <w:rPr>
          <w:rFonts w:ascii="Times New Roman" w:eastAsia="Times New Roman" w:hAnsi="Times New Roman" w:cs="Times New Roman"/>
        </w:rPr>
      </w:pPr>
      <w:r>
        <w:rPr>
          <w:rFonts w:ascii="Times New Roman"/>
        </w:rPr>
        <w:t xml:space="preserve">The literature search for the present systematic review was conducted at Ovid Medline, </w:t>
      </w:r>
      <w:proofErr w:type="spellStart"/>
      <w:r>
        <w:rPr>
          <w:rFonts w:ascii="Times New Roman"/>
        </w:rPr>
        <w:t>Embase</w:t>
      </w:r>
      <w:proofErr w:type="spellEnd"/>
      <w:r>
        <w:rPr>
          <w:rFonts w:ascii="Times New Roman"/>
        </w:rPr>
        <w:t>, LILACS and Cochrane Library up to 27 May 2014 and updated on 22 July 2015. The reference lists of included articles and relevant reviews were manually searched. The search was complemented by hand search of the journals most likely to publish studies on furcation involvement over the last 20 years (</w:t>
      </w:r>
      <w:r>
        <w:rPr>
          <w:rFonts w:ascii="Times New Roman"/>
          <w:i/>
          <w:iCs/>
        </w:rPr>
        <w:t>Journal of Clinical Periodontology, Journal of Dental Research</w:t>
      </w:r>
      <w:r>
        <w:rPr>
          <w:rFonts w:ascii="Times New Roman"/>
        </w:rPr>
        <w:t xml:space="preserve"> and</w:t>
      </w:r>
      <w:r>
        <w:rPr>
          <w:rFonts w:ascii="Times New Roman"/>
          <w:i/>
          <w:iCs/>
        </w:rPr>
        <w:t xml:space="preserve"> Journal of Periodontology</w:t>
      </w:r>
      <w:r>
        <w:rPr>
          <w:rFonts w:ascii="Times New Roman"/>
        </w:rPr>
        <w:t>). The Editors of the above-named journals were contacted to enquire about any papers in press on this topic.</w:t>
      </w:r>
    </w:p>
    <w:p w:rsidR="002B2028" w:rsidRDefault="002B2028">
      <w:pPr>
        <w:pStyle w:val="BodyAAA"/>
        <w:spacing w:line="360" w:lineRule="auto"/>
        <w:jc w:val="both"/>
        <w:rPr>
          <w:rFonts w:ascii="Times New Roman" w:eastAsia="Times New Roman" w:hAnsi="Times New Roman" w:cs="Times New Roman"/>
        </w:rPr>
      </w:pPr>
    </w:p>
    <w:p w:rsidR="002B2028" w:rsidRDefault="00A45ADA">
      <w:pPr>
        <w:pStyle w:val="Body"/>
        <w:spacing w:line="360" w:lineRule="auto"/>
        <w:jc w:val="both"/>
        <w:rPr>
          <w:b/>
          <w:bCs/>
          <w:i/>
          <w:iCs/>
        </w:rPr>
      </w:pPr>
      <w:r>
        <w:rPr>
          <w:rFonts w:ascii="Times New Roman"/>
          <w:b/>
          <w:bCs/>
          <w:i/>
          <w:iCs/>
        </w:rPr>
        <w:t>Search strategy</w:t>
      </w:r>
    </w:p>
    <w:p w:rsidR="002B2028" w:rsidRDefault="00A45ADA">
      <w:pPr>
        <w:pStyle w:val="Body"/>
        <w:spacing w:line="360" w:lineRule="auto"/>
        <w:jc w:val="both"/>
        <w:rPr>
          <w:b/>
          <w:bCs/>
        </w:rPr>
      </w:pPr>
      <w:r>
        <w:rPr>
          <w:rFonts w:ascii="Times New Roman"/>
        </w:rPr>
        <w:t xml:space="preserve">The search strategy used a combination of </w:t>
      </w:r>
      <w:proofErr w:type="spellStart"/>
      <w:r>
        <w:rPr>
          <w:rFonts w:ascii="Times New Roman"/>
        </w:rPr>
        <w:t>MeSH</w:t>
      </w:r>
      <w:proofErr w:type="spellEnd"/>
      <w:r>
        <w:rPr>
          <w:rFonts w:ascii="Times New Roman"/>
        </w:rPr>
        <w:t xml:space="preserve"> terms and key words described in supplemental material 2.</w:t>
      </w:r>
    </w:p>
    <w:p w:rsidR="002B2028" w:rsidRDefault="002B2028">
      <w:pPr>
        <w:pStyle w:val="Body"/>
        <w:spacing w:line="360" w:lineRule="auto"/>
        <w:jc w:val="both"/>
        <w:rPr>
          <w:rFonts w:ascii="Times New Roman" w:eastAsia="Times New Roman" w:hAnsi="Times New Roman" w:cs="Times New Roman"/>
        </w:rPr>
      </w:pPr>
    </w:p>
    <w:p w:rsidR="002B2028" w:rsidRDefault="00A45ADA">
      <w:pPr>
        <w:pStyle w:val="Body"/>
        <w:spacing w:line="360" w:lineRule="auto"/>
        <w:jc w:val="both"/>
        <w:rPr>
          <w:b/>
          <w:bCs/>
          <w:i/>
          <w:iCs/>
        </w:rPr>
      </w:pPr>
      <w:r>
        <w:rPr>
          <w:rFonts w:ascii="Times New Roman"/>
          <w:b/>
          <w:bCs/>
          <w:i/>
          <w:iCs/>
        </w:rPr>
        <w:t>Study selection</w:t>
      </w:r>
    </w:p>
    <w:p w:rsidR="002B2028" w:rsidRDefault="00A45ADA">
      <w:pPr>
        <w:pStyle w:val="Body"/>
        <w:spacing w:line="360" w:lineRule="auto"/>
        <w:jc w:val="both"/>
      </w:pPr>
      <w:r>
        <w:rPr>
          <w:rFonts w:ascii="Times New Roman"/>
        </w:rPr>
        <w:t xml:space="preserve">Studies were selected in two-stage screening and carried out by two independent reviewers (A.Z. and K.N. for the first stage and A.Z. and L.N. for the second stage). Disagreements about inclusion or exclusion of a study were resolved by consensus. </w:t>
      </w:r>
    </w:p>
    <w:p w:rsidR="002B2028" w:rsidRDefault="002B2028">
      <w:pPr>
        <w:pStyle w:val="Body"/>
        <w:spacing w:line="360" w:lineRule="auto"/>
        <w:jc w:val="both"/>
        <w:rPr>
          <w:rFonts w:ascii="Times New Roman" w:eastAsia="Times New Roman" w:hAnsi="Times New Roman" w:cs="Times New Roman"/>
        </w:rPr>
      </w:pPr>
    </w:p>
    <w:p w:rsidR="002B2028" w:rsidRDefault="00A45ADA">
      <w:pPr>
        <w:pStyle w:val="Body"/>
        <w:spacing w:line="360" w:lineRule="auto"/>
        <w:jc w:val="both"/>
      </w:pPr>
      <w:r>
        <w:rPr>
          <w:rFonts w:ascii="Times New Roman"/>
        </w:rPr>
        <w:t>The first-stage screening of titles and abstracts was carried out in order to eliminate irrelevant articles and those that did not meet the inclusion criteria established by this study. At the second-stage screening, following proof reading of the full-texts, the study eligibility was verified independently by both reviewers and the data extraction and quality assessment were performed for the included studies. The level of agreement between the two reviewers was calculated using Kappa statistics for the first and second-stage screening.</w:t>
      </w:r>
    </w:p>
    <w:p w:rsidR="002B2028" w:rsidRDefault="002B2028">
      <w:pPr>
        <w:pStyle w:val="Body"/>
        <w:spacing w:line="360" w:lineRule="auto"/>
        <w:jc w:val="both"/>
        <w:rPr>
          <w:rFonts w:ascii="Times New Roman" w:eastAsia="Times New Roman" w:hAnsi="Times New Roman" w:cs="Times New Roman"/>
        </w:rPr>
      </w:pPr>
    </w:p>
    <w:p w:rsidR="002B2028" w:rsidRDefault="00A45ADA">
      <w:pPr>
        <w:pStyle w:val="Body"/>
        <w:spacing w:line="360" w:lineRule="auto"/>
        <w:jc w:val="both"/>
        <w:rPr>
          <w:b/>
          <w:bCs/>
          <w:i/>
          <w:iCs/>
        </w:rPr>
      </w:pPr>
      <w:r>
        <w:rPr>
          <w:rFonts w:ascii="Times New Roman"/>
          <w:b/>
          <w:bCs/>
          <w:i/>
          <w:iCs/>
        </w:rPr>
        <w:lastRenderedPageBreak/>
        <w:t xml:space="preserve">Data collection process/ data items </w:t>
      </w:r>
    </w:p>
    <w:p w:rsidR="002B2028" w:rsidRDefault="00A45ADA">
      <w:pPr>
        <w:pStyle w:val="BodyAA"/>
        <w:tabs>
          <w:tab w:val="left" w:pos="916"/>
          <w:tab w:val="left" w:pos="1410"/>
          <w:tab w:val="left" w:pos="1832"/>
          <w:tab w:val="left" w:pos="2748"/>
          <w:tab w:val="left" w:pos="3664"/>
          <w:tab w:val="left" w:pos="4580"/>
          <w:tab w:val="left" w:pos="5496"/>
          <w:tab w:val="left" w:pos="6412"/>
          <w:tab w:val="left" w:pos="7328"/>
          <w:tab w:val="left" w:pos="8244"/>
          <w:tab w:val="left" w:pos="8520"/>
        </w:tabs>
        <w:spacing w:after="0" w:line="360" w:lineRule="auto"/>
        <w:jc w:val="both"/>
        <w:rPr>
          <w:rFonts w:ascii="Times New Roman" w:eastAsia="Times New Roman" w:hAnsi="Times New Roman" w:cs="Times New Roman"/>
        </w:rPr>
      </w:pPr>
      <w:r>
        <w:rPr>
          <w:rFonts w:ascii="Times New Roman"/>
          <w:sz w:val="24"/>
          <w:szCs w:val="24"/>
        </w:rPr>
        <w:t>Data were extracted based on the general study characteristics (authors and year of publication, country) and population characteristics (number of participants, age, gender, inclusion/exclusion criteria, diagnosis of periodontal status, method used for furcation diagnosis, degree of furcation involvement, treatment protocol, study timelines, outcomes described)</w:t>
      </w:r>
      <w:r>
        <w:rPr>
          <w:rFonts w:ascii="Times New Roman"/>
        </w:rPr>
        <w:t xml:space="preserve">. </w:t>
      </w:r>
    </w:p>
    <w:p w:rsidR="002B2028" w:rsidRDefault="002B2028">
      <w:pPr>
        <w:pStyle w:val="Body"/>
        <w:spacing w:line="360" w:lineRule="auto"/>
        <w:jc w:val="both"/>
        <w:rPr>
          <w:rFonts w:ascii="Times New Roman" w:eastAsia="Times New Roman" w:hAnsi="Times New Roman" w:cs="Times New Roman"/>
          <w:b/>
          <w:bCs/>
          <w:i/>
          <w:iCs/>
        </w:rPr>
      </w:pPr>
    </w:p>
    <w:p w:rsidR="002B2028" w:rsidRDefault="00A45ADA">
      <w:pPr>
        <w:pStyle w:val="Body"/>
        <w:spacing w:line="360" w:lineRule="auto"/>
        <w:jc w:val="both"/>
        <w:rPr>
          <w:b/>
          <w:bCs/>
          <w:i/>
          <w:iCs/>
        </w:rPr>
      </w:pPr>
      <w:r>
        <w:rPr>
          <w:rFonts w:ascii="Times New Roman"/>
          <w:b/>
          <w:bCs/>
          <w:i/>
          <w:iCs/>
        </w:rPr>
        <w:t>Risk of bias in individual studies</w:t>
      </w:r>
    </w:p>
    <w:p w:rsidR="002B2028" w:rsidRDefault="00A45ADA">
      <w:pPr>
        <w:pStyle w:val="Body"/>
        <w:spacing w:line="360" w:lineRule="auto"/>
        <w:jc w:val="both"/>
      </w:pPr>
      <w:r>
        <w:rPr>
          <w:rFonts w:ascii="Times New Roman"/>
        </w:rPr>
        <w:t>We aimed to assess the risk of bias of the included studies, defined as a systematic error or deviation from the truth, in results or inferences. Risk of bias/ quality assessment for the individual studies was performed using the Newcastle - Ottawa Quality Assessment Scale (</w:t>
      </w:r>
      <w:hyperlink r:id="rId7" w:history="1">
        <w:r>
          <w:rPr>
            <w:rStyle w:val="Hyperlink0"/>
            <w:rFonts w:ascii="Times New Roman"/>
          </w:rPr>
          <w:t>http://www.ohri.ca/programs/clinical_epidemiology/oxford.htm</w:t>
        </w:r>
      </w:hyperlink>
      <w:r>
        <w:rPr>
          <w:rFonts w:ascii="Times New Roman"/>
        </w:rPr>
        <w:t>, accessed 17 September 2014).</w:t>
      </w:r>
    </w:p>
    <w:p w:rsidR="002B2028" w:rsidRDefault="00A45ADA">
      <w:pPr>
        <w:pStyle w:val="Body"/>
        <w:spacing w:line="360" w:lineRule="auto"/>
        <w:jc w:val="both"/>
      </w:pPr>
      <w:r>
        <w:rPr>
          <w:rFonts w:ascii="Times New Roman"/>
        </w:rPr>
        <w:t xml:space="preserve"> </w:t>
      </w:r>
    </w:p>
    <w:p w:rsidR="002B2028" w:rsidRDefault="00A45ADA">
      <w:pPr>
        <w:pStyle w:val="Body"/>
        <w:spacing w:line="360" w:lineRule="auto"/>
        <w:jc w:val="both"/>
        <w:rPr>
          <w:b/>
          <w:bCs/>
          <w:i/>
          <w:iCs/>
        </w:rPr>
      </w:pPr>
      <w:r>
        <w:rPr>
          <w:rFonts w:ascii="Times New Roman"/>
          <w:b/>
          <w:bCs/>
          <w:i/>
          <w:iCs/>
        </w:rPr>
        <w:t>Summary measures/Synthesis of results/ Statistical methods</w:t>
      </w:r>
    </w:p>
    <w:p w:rsidR="002B2028" w:rsidRDefault="00A45ADA">
      <w:pPr>
        <w:pStyle w:val="Body"/>
        <w:spacing w:line="360" w:lineRule="auto"/>
        <w:jc w:val="both"/>
      </w:pPr>
      <w:r>
        <w:rPr>
          <w:rFonts w:ascii="Times New Roman"/>
        </w:rPr>
        <w:t>The primary outcome was tooth loss at various periods of follow-up years between groups with and without FI. For tooth loss, the total number of teeth lost and the patient-years for the length of follow-up were obtained from included studies. Further data were gathered on tooth loss based on furcation diagnosis (degree I, II or III) (</w:t>
      </w:r>
      <w:proofErr w:type="spellStart"/>
      <w:r>
        <w:rPr>
          <w:rFonts w:ascii="Times New Roman"/>
        </w:rPr>
        <w:t>Hamp</w:t>
      </w:r>
      <w:proofErr w:type="spellEnd"/>
      <w:r>
        <w:rPr>
          <w:rFonts w:ascii="Times New Roman"/>
        </w:rPr>
        <w:t xml:space="preserve"> et al. 1975) when available. The odds ratios of tooth loss were estimated using a computer program (Review Manager Version 5.0. Copenhagen; </w:t>
      </w:r>
      <w:proofErr w:type="gramStart"/>
      <w:r>
        <w:rPr>
          <w:rFonts w:ascii="Times New Roman"/>
        </w:rPr>
        <w:t>The</w:t>
      </w:r>
      <w:proofErr w:type="gramEnd"/>
      <w:r>
        <w:rPr>
          <w:rFonts w:ascii="Times New Roman"/>
        </w:rPr>
        <w:t xml:space="preserve"> Nordic Cochrane Centre, The Cochrane Collaboration, 2008). The contribution of each article was weighed. Random effects meta-analyses of the selected studies were applied to allow for methodological differences among studies. Forest plots were produced to graphically represent the difference in outcomes of groups with and without FI for all included studies using tooth number as the analysis unit. Reported data did not permit accounting for clustering of teeth and therefore outcomes within individuals. A p value= 0.05 was used as the level of significance. Heterogeneity was assessed with chi-square test and I</w:t>
      </w:r>
      <w:r>
        <w:rPr>
          <w:rFonts w:ascii="Times New Roman"/>
          <w:vertAlign w:val="superscript"/>
        </w:rPr>
        <w:t>2</w:t>
      </w:r>
      <w:r>
        <w:rPr>
          <w:rFonts w:ascii="Times New Roman"/>
        </w:rPr>
        <w:t xml:space="preserve"> test. The suggested interpretation of I2 is; 0-40% might not be important, 30-60% may represent moderate heterogeneity, 50-90% may represent substantial heterogeneity and 75%-100% considerable heterogeneity (Higgins &amp; Green 2011). To avoid the bias from data including third molars and different degrees of furcation involvement, meta-analyses with data of excluding third molars and comparing tooth loss of different degrees of furcation </w:t>
      </w:r>
      <w:r>
        <w:rPr>
          <w:rFonts w:ascii="Times New Roman"/>
        </w:rPr>
        <w:lastRenderedPageBreak/>
        <w:t xml:space="preserve">involvement were also performed. In addition, funnel plots were used to assess the presence of publication bias. </w:t>
      </w:r>
    </w:p>
    <w:p w:rsidR="002B2028" w:rsidRDefault="002B2028">
      <w:pPr>
        <w:pStyle w:val="Body"/>
        <w:spacing w:line="360" w:lineRule="auto"/>
        <w:jc w:val="both"/>
        <w:rPr>
          <w:rFonts w:ascii="Times New Roman" w:eastAsia="Times New Roman" w:hAnsi="Times New Roman" w:cs="Times New Roman"/>
        </w:rPr>
      </w:pPr>
    </w:p>
    <w:p w:rsidR="002B2028" w:rsidRDefault="00A45ADA">
      <w:pPr>
        <w:pStyle w:val="Body"/>
        <w:spacing w:line="360" w:lineRule="auto"/>
        <w:jc w:val="both"/>
      </w:pPr>
      <w:r>
        <w:rPr>
          <w:rFonts w:ascii="Times New Roman"/>
        </w:rPr>
        <w:t xml:space="preserve"> </w:t>
      </w:r>
    </w:p>
    <w:p w:rsidR="002B2028" w:rsidRDefault="00A45ADA">
      <w:pPr>
        <w:pStyle w:val="Body"/>
        <w:spacing w:line="360" w:lineRule="auto"/>
        <w:jc w:val="both"/>
        <w:rPr>
          <w:b/>
          <w:bCs/>
        </w:rPr>
      </w:pPr>
      <w:r>
        <w:rPr>
          <w:rFonts w:ascii="Times New Roman"/>
          <w:b/>
          <w:bCs/>
          <w:lang w:val="de-DE"/>
        </w:rPr>
        <w:t xml:space="preserve">RESULTS </w:t>
      </w:r>
    </w:p>
    <w:p w:rsidR="002B2028" w:rsidRDefault="00A45ADA">
      <w:pPr>
        <w:pStyle w:val="Body"/>
        <w:spacing w:line="360" w:lineRule="auto"/>
        <w:jc w:val="both"/>
        <w:rPr>
          <w:b/>
          <w:bCs/>
          <w:i/>
          <w:iCs/>
        </w:rPr>
      </w:pPr>
      <w:r>
        <w:rPr>
          <w:rFonts w:ascii="Times New Roman"/>
          <w:b/>
          <w:bCs/>
          <w:i/>
          <w:iCs/>
        </w:rPr>
        <w:t>Study selection</w:t>
      </w:r>
    </w:p>
    <w:p w:rsidR="002B2028" w:rsidRDefault="00A45ADA">
      <w:pPr>
        <w:pStyle w:val="Body"/>
        <w:spacing w:line="360" w:lineRule="auto"/>
        <w:jc w:val="both"/>
      </w:pPr>
      <w:r>
        <w:rPr>
          <w:rFonts w:ascii="Times New Roman"/>
        </w:rPr>
        <w:t xml:space="preserve">Figure 1 reports the flowchart representing study selection and inclusion. The initial search resulted in 1207 articles at Ovid Medline, </w:t>
      </w:r>
      <w:proofErr w:type="spellStart"/>
      <w:r>
        <w:rPr>
          <w:rFonts w:ascii="Times New Roman"/>
        </w:rPr>
        <w:t>Embase</w:t>
      </w:r>
      <w:proofErr w:type="spellEnd"/>
      <w:r>
        <w:rPr>
          <w:rFonts w:ascii="Times New Roman"/>
        </w:rPr>
        <w:t xml:space="preserve">, Cochrane Library and LILACS combined. Following first-stage screening of titles and abstracts, 41 articles qualified for full-text screening (considered potentially suitable by at least one reviewer). Four additional articles were identified by a manual search and one from editorial contacts (under review). After full text reading, 21 articles met the defined inclusion criteria and 25 were excluded (reported as supplemental material 3). The reasons for exclusion were as follow: 13 studies were excluded as they did not report reason for tooth loss separately for teeth with furcation involvement; 6 studies were excluded as they included some cases with follow-ups less than 3 years; 3 studies were excluded as they were book chapters, reviews or case reports; 2 studies were excluded because of non-secure furcation diagnosis (just radiographic analysis) and 1 because it was a duplicate report with a shorter follow-up on the same population of one of the included studies. Every effort was made to obtain any relevant missing data from the papers by contacting the authors by email. </w:t>
      </w:r>
    </w:p>
    <w:p w:rsidR="002B2028" w:rsidRDefault="002B2028">
      <w:pPr>
        <w:pStyle w:val="Body"/>
        <w:spacing w:line="360" w:lineRule="auto"/>
        <w:jc w:val="both"/>
        <w:rPr>
          <w:rFonts w:ascii="Times New Roman" w:eastAsia="Times New Roman" w:hAnsi="Times New Roman" w:cs="Times New Roman"/>
        </w:rPr>
      </w:pPr>
    </w:p>
    <w:p w:rsidR="002B2028" w:rsidRDefault="00A45ADA">
      <w:pPr>
        <w:pStyle w:val="Body"/>
        <w:spacing w:line="360" w:lineRule="auto"/>
        <w:jc w:val="both"/>
      </w:pPr>
      <w:r>
        <w:rPr>
          <w:rFonts w:ascii="Times New Roman"/>
        </w:rPr>
        <w:t>The kappa value for inter-reviewer agreement was 0.89 at title and abstract screening and 0.82 at full text reading, showing good agreement between the reviewers.</w:t>
      </w:r>
    </w:p>
    <w:p w:rsidR="002B2028" w:rsidRDefault="002B2028">
      <w:pPr>
        <w:pStyle w:val="Body"/>
        <w:spacing w:line="360" w:lineRule="auto"/>
        <w:jc w:val="center"/>
        <w:rPr>
          <w:rFonts w:ascii="Times New Roman" w:eastAsia="Times New Roman" w:hAnsi="Times New Roman" w:cs="Times New Roman"/>
        </w:rPr>
      </w:pPr>
    </w:p>
    <w:p w:rsidR="002B2028" w:rsidRDefault="00A45ADA">
      <w:pPr>
        <w:pStyle w:val="Body"/>
        <w:spacing w:line="360" w:lineRule="auto"/>
        <w:jc w:val="both"/>
        <w:rPr>
          <w:b/>
          <w:bCs/>
          <w:i/>
          <w:iCs/>
        </w:rPr>
      </w:pPr>
      <w:r>
        <w:rPr>
          <w:rFonts w:ascii="Times New Roman"/>
          <w:b/>
          <w:bCs/>
          <w:i/>
          <w:iCs/>
        </w:rPr>
        <w:t>Study characteristics</w:t>
      </w:r>
    </w:p>
    <w:p w:rsidR="002B2028" w:rsidRDefault="00A45ADA">
      <w:pPr>
        <w:pStyle w:val="Body"/>
        <w:spacing w:line="360" w:lineRule="auto"/>
        <w:jc w:val="both"/>
      </w:pPr>
      <w:r>
        <w:rPr>
          <w:rFonts w:ascii="Times New Roman"/>
        </w:rPr>
        <w:t>Table 1 reports the characteristics of the sample included in the reviewed studies. Of the 21 included studies, most articles were written in English (n=20) and 1 in German. The countries where the studies were conducted were United States (n=11), Germany (n=6), Sweden (n=2), Switzerland (n=1) and Italy (n=1). The patient sample ranged from 9 (</w:t>
      </w:r>
      <w:proofErr w:type="spellStart"/>
      <w:r>
        <w:rPr>
          <w:rFonts w:ascii="Times New Roman"/>
        </w:rPr>
        <w:t>Eickholz</w:t>
      </w:r>
      <w:proofErr w:type="spellEnd"/>
      <w:r>
        <w:rPr>
          <w:rFonts w:ascii="Times New Roman"/>
        </w:rPr>
        <w:t xml:space="preserve"> &amp; </w:t>
      </w:r>
      <w:proofErr w:type="spellStart"/>
      <w:r>
        <w:rPr>
          <w:rFonts w:ascii="Times New Roman"/>
        </w:rPr>
        <w:t>Hausmann</w:t>
      </w:r>
      <w:proofErr w:type="spellEnd"/>
      <w:r>
        <w:rPr>
          <w:rFonts w:ascii="Times New Roman"/>
        </w:rPr>
        <w:t xml:space="preserve"> 2002) to 600 patients (</w:t>
      </w:r>
      <w:proofErr w:type="spellStart"/>
      <w:r>
        <w:rPr>
          <w:rFonts w:ascii="Times New Roman"/>
        </w:rPr>
        <w:t>Hirschfeld</w:t>
      </w:r>
      <w:proofErr w:type="spellEnd"/>
      <w:r>
        <w:rPr>
          <w:rFonts w:ascii="Times New Roman"/>
        </w:rPr>
        <w:t xml:space="preserve"> &amp; Wasserman 1978). All studies were longitudinal, including both prospective and retrospective studies, although often it was difficult to distinguish the nature of the study as it was not always clearly stated. The 21 papers reviewed spanned across five decades, with 2 published in the 1970s (</w:t>
      </w:r>
      <w:proofErr w:type="spellStart"/>
      <w:r>
        <w:rPr>
          <w:rFonts w:ascii="Times New Roman"/>
        </w:rPr>
        <w:t>Lindhe</w:t>
      </w:r>
      <w:proofErr w:type="spellEnd"/>
      <w:r>
        <w:rPr>
          <w:rFonts w:ascii="Times New Roman"/>
        </w:rPr>
        <w:t xml:space="preserve"> &amp; Nyman 1975, </w:t>
      </w:r>
      <w:proofErr w:type="spellStart"/>
      <w:r>
        <w:rPr>
          <w:rFonts w:ascii="Times New Roman"/>
        </w:rPr>
        <w:t>Hirschfeld</w:t>
      </w:r>
      <w:proofErr w:type="spellEnd"/>
      <w:r>
        <w:rPr>
          <w:rFonts w:ascii="Times New Roman"/>
        </w:rPr>
        <w:t xml:space="preserve"> &amp; Wasserman </w:t>
      </w:r>
      <w:r>
        <w:rPr>
          <w:rFonts w:ascii="Times New Roman"/>
        </w:rPr>
        <w:lastRenderedPageBreak/>
        <w:t>1978), 3 in the 1980s (</w:t>
      </w:r>
      <w:proofErr w:type="spellStart"/>
      <w:r>
        <w:rPr>
          <w:rFonts w:ascii="Times New Roman"/>
        </w:rPr>
        <w:t>McFall</w:t>
      </w:r>
      <w:proofErr w:type="spellEnd"/>
      <w:r>
        <w:rPr>
          <w:rFonts w:ascii="Times New Roman"/>
        </w:rPr>
        <w:t xml:space="preserve"> 1982, Goldman et al. 1986, Wood et al. 1989), 7 in the 1990s (</w:t>
      </w:r>
      <w:proofErr w:type="spellStart"/>
      <w:r>
        <w:rPr>
          <w:rFonts w:ascii="Times New Roman"/>
        </w:rPr>
        <w:t>Kuhrau</w:t>
      </w:r>
      <w:proofErr w:type="spellEnd"/>
      <w:r>
        <w:rPr>
          <w:rFonts w:ascii="Times New Roman"/>
        </w:rPr>
        <w:t xml:space="preserve"> et al. 1990, Wang et al. 1994, Little et al. 1995, McGuire &amp; Nunn 1996, </w:t>
      </w:r>
      <w:proofErr w:type="spellStart"/>
      <w:r>
        <w:rPr>
          <w:rFonts w:ascii="Times New Roman"/>
        </w:rPr>
        <w:t>Yukna</w:t>
      </w:r>
      <w:proofErr w:type="spellEnd"/>
      <w:r>
        <w:rPr>
          <w:rFonts w:ascii="Times New Roman"/>
        </w:rPr>
        <w:t xml:space="preserve"> &amp; </w:t>
      </w:r>
      <w:proofErr w:type="spellStart"/>
      <w:r>
        <w:rPr>
          <w:rFonts w:ascii="Times New Roman"/>
        </w:rPr>
        <w:t>Yukna</w:t>
      </w:r>
      <w:proofErr w:type="spellEnd"/>
      <w:r>
        <w:rPr>
          <w:rFonts w:ascii="Times New Roman"/>
        </w:rPr>
        <w:t xml:space="preserve"> 1997, Haney et al. 1997, McLeod et al. 1998), 5 in the 2000s (</w:t>
      </w:r>
      <w:proofErr w:type="spellStart"/>
      <w:r>
        <w:rPr>
          <w:rFonts w:ascii="Times New Roman"/>
        </w:rPr>
        <w:t>Eickholz</w:t>
      </w:r>
      <w:proofErr w:type="spellEnd"/>
      <w:r>
        <w:rPr>
          <w:rFonts w:ascii="Times New Roman"/>
        </w:rPr>
        <w:t xml:space="preserve"> &amp; </w:t>
      </w:r>
      <w:proofErr w:type="spellStart"/>
      <w:r>
        <w:rPr>
          <w:rFonts w:ascii="Times New Roman"/>
        </w:rPr>
        <w:t>Hausmann</w:t>
      </w:r>
      <w:proofErr w:type="spellEnd"/>
      <w:r>
        <w:rPr>
          <w:rFonts w:ascii="Times New Roman"/>
        </w:rPr>
        <w:t xml:space="preserve"> 2002, </w:t>
      </w:r>
      <w:proofErr w:type="spellStart"/>
      <w:r>
        <w:rPr>
          <w:rFonts w:ascii="Times New Roman"/>
        </w:rPr>
        <w:t>Checchi</w:t>
      </w:r>
      <w:proofErr w:type="spellEnd"/>
      <w:r>
        <w:rPr>
          <w:rFonts w:ascii="Times New Roman"/>
        </w:rPr>
        <w:t xml:space="preserve"> et al. 2002, </w:t>
      </w:r>
      <w:proofErr w:type="spellStart"/>
      <w:r>
        <w:rPr>
          <w:rFonts w:ascii="Times New Roman"/>
        </w:rPr>
        <w:t>Dannewitz</w:t>
      </w:r>
      <w:proofErr w:type="spellEnd"/>
      <w:r>
        <w:rPr>
          <w:rFonts w:ascii="Times New Roman"/>
        </w:rPr>
        <w:t xml:space="preserve"> et al. 2006, </w:t>
      </w:r>
      <w:proofErr w:type="spellStart"/>
      <w:r>
        <w:rPr>
          <w:rFonts w:ascii="Times New Roman"/>
        </w:rPr>
        <w:t>Pretzl</w:t>
      </w:r>
      <w:proofErr w:type="spellEnd"/>
      <w:r>
        <w:rPr>
          <w:rFonts w:ascii="Times New Roman"/>
        </w:rPr>
        <w:t xml:space="preserve"> et al. 2008, </w:t>
      </w:r>
      <w:proofErr w:type="spellStart"/>
      <w:r>
        <w:rPr>
          <w:rFonts w:ascii="Times New Roman"/>
        </w:rPr>
        <w:t>Zafiropoulos</w:t>
      </w:r>
      <w:proofErr w:type="spellEnd"/>
      <w:r>
        <w:rPr>
          <w:rFonts w:ascii="Times New Roman"/>
        </w:rPr>
        <w:t xml:space="preserve"> et al. 2009) and 4 in the 2010s (Johansson et al. 2013, Miller et al. 2014, </w:t>
      </w:r>
      <w:proofErr w:type="spellStart"/>
      <w:r>
        <w:rPr>
          <w:rFonts w:ascii="Times New Roman"/>
        </w:rPr>
        <w:t>Salvi</w:t>
      </w:r>
      <w:proofErr w:type="spellEnd"/>
      <w:r>
        <w:rPr>
          <w:rFonts w:ascii="Times New Roman"/>
        </w:rPr>
        <w:t xml:space="preserve"> et al. 2014, </w:t>
      </w:r>
      <w:proofErr w:type="spellStart"/>
      <w:r>
        <w:rPr>
          <w:rFonts w:ascii="Times New Roman"/>
        </w:rPr>
        <w:t>Graetz</w:t>
      </w:r>
      <w:proofErr w:type="spellEnd"/>
      <w:r>
        <w:rPr>
          <w:rFonts w:ascii="Times New Roman"/>
        </w:rPr>
        <w:t xml:space="preserve"> et al. 2015). </w:t>
      </w:r>
    </w:p>
    <w:p w:rsidR="002B2028" w:rsidRDefault="002B2028">
      <w:pPr>
        <w:pStyle w:val="Body"/>
        <w:spacing w:line="360" w:lineRule="auto"/>
        <w:jc w:val="both"/>
        <w:rPr>
          <w:rFonts w:ascii="Times New Roman" w:eastAsia="Times New Roman" w:hAnsi="Times New Roman" w:cs="Times New Roman"/>
        </w:rPr>
      </w:pPr>
    </w:p>
    <w:p w:rsidR="002B2028" w:rsidRDefault="00A45ADA">
      <w:pPr>
        <w:pStyle w:val="Body"/>
        <w:spacing w:line="360" w:lineRule="auto"/>
        <w:jc w:val="both"/>
      </w:pPr>
      <w:r>
        <w:rPr>
          <w:rFonts w:ascii="Times New Roman"/>
        </w:rPr>
        <w:t xml:space="preserve">Table 2 </w:t>
      </w:r>
      <w:r>
        <w:rPr>
          <w:rFonts w:ascii="Times New Roman"/>
          <w:lang w:val="en-GB"/>
        </w:rPr>
        <w:t>summarises</w:t>
      </w:r>
      <w:r>
        <w:rPr>
          <w:rFonts w:ascii="Times New Roman"/>
        </w:rPr>
        <w:t xml:space="preserve"> the interventions of the included studies. Five of the included papers focused on specific treatment for a specific group of furcation-involved teeth: 3 papers focused on regenerative treatment of grade II furcations (Haney et al. 1997, </w:t>
      </w:r>
      <w:proofErr w:type="spellStart"/>
      <w:r>
        <w:rPr>
          <w:rFonts w:ascii="Times New Roman"/>
        </w:rPr>
        <w:t>Yukna</w:t>
      </w:r>
      <w:proofErr w:type="spellEnd"/>
      <w:r>
        <w:rPr>
          <w:rFonts w:ascii="Times New Roman"/>
        </w:rPr>
        <w:t xml:space="preserve"> &amp; </w:t>
      </w:r>
      <w:proofErr w:type="spellStart"/>
      <w:r>
        <w:rPr>
          <w:rFonts w:ascii="Times New Roman"/>
        </w:rPr>
        <w:t>Yukna</w:t>
      </w:r>
      <w:proofErr w:type="spellEnd"/>
      <w:r>
        <w:rPr>
          <w:rFonts w:ascii="Times New Roman"/>
        </w:rPr>
        <w:t xml:space="preserve"> 1997, </w:t>
      </w:r>
      <w:proofErr w:type="spellStart"/>
      <w:r>
        <w:rPr>
          <w:rFonts w:ascii="Times New Roman"/>
        </w:rPr>
        <w:t>Eickholz</w:t>
      </w:r>
      <w:proofErr w:type="spellEnd"/>
      <w:r>
        <w:rPr>
          <w:rFonts w:ascii="Times New Roman"/>
        </w:rPr>
        <w:t xml:space="preserve"> &amp; </w:t>
      </w:r>
      <w:proofErr w:type="spellStart"/>
      <w:r>
        <w:rPr>
          <w:rFonts w:ascii="Times New Roman"/>
        </w:rPr>
        <w:t>Hausmann</w:t>
      </w:r>
      <w:proofErr w:type="spellEnd"/>
      <w:r>
        <w:rPr>
          <w:rFonts w:ascii="Times New Roman"/>
        </w:rPr>
        <w:t xml:space="preserve"> 2002), 1 on </w:t>
      </w:r>
      <w:proofErr w:type="spellStart"/>
      <w:r w:rsidR="00FB35FC">
        <w:rPr>
          <w:rFonts w:ascii="Times New Roman"/>
          <w:lang w:val="en-GB"/>
        </w:rPr>
        <w:t>tunneling</w:t>
      </w:r>
      <w:proofErr w:type="spellEnd"/>
      <w:r>
        <w:rPr>
          <w:rFonts w:ascii="Times New Roman"/>
        </w:rPr>
        <w:t xml:space="preserve"> of grade II and III furcations (Little et al. 1995) and 1 on root resection or extraction and implant therapy in grade III furcations (</w:t>
      </w:r>
      <w:proofErr w:type="spellStart"/>
      <w:r>
        <w:rPr>
          <w:rFonts w:ascii="Times New Roman"/>
        </w:rPr>
        <w:t>Zafiropoulos</w:t>
      </w:r>
      <w:proofErr w:type="spellEnd"/>
      <w:r>
        <w:rPr>
          <w:rFonts w:ascii="Times New Roman"/>
        </w:rPr>
        <w:t xml:space="preserve"> et al. 2009). Two papers reported data for tooth loss in teeth with FI, but did not report data specifically on tooth loss ratio of molars without FI (</w:t>
      </w:r>
      <w:proofErr w:type="spellStart"/>
      <w:r>
        <w:rPr>
          <w:rFonts w:ascii="Times New Roman"/>
        </w:rPr>
        <w:t>Lindhe</w:t>
      </w:r>
      <w:proofErr w:type="spellEnd"/>
      <w:r>
        <w:rPr>
          <w:rFonts w:ascii="Times New Roman"/>
        </w:rPr>
        <w:t xml:space="preserve"> &amp; Nyman 1975, McLeod et al. 1998). Fourteen papers assessed long-term tooth loss in cohorts of periodontitis patients during maintenance care (reporting breakdown of tooth loss by furcation degree), hence were suitable for meta-analysis. Supportive periodontal therapy (SPT) protocols had a wide range of frequency, while some were not clearly specified, and generally included periodic (3- to 6- to 12-monthly) periodontal clinical measurements, oral hygiene instructions and subgingival debridement and -when needed- periodontal surgeries.</w:t>
      </w:r>
    </w:p>
    <w:p w:rsidR="002B2028" w:rsidRDefault="002B2028">
      <w:pPr>
        <w:pStyle w:val="Body"/>
        <w:spacing w:line="360" w:lineRule="auto"/>
        <w:ind w:left="360"/>
        <w:jc w:val="both"/>
        <w:rPr>
          <w:rFonts w:ascii="Times New Roman" w:eastAsia="Times New Roman" w:hAnsi="Times New Roman" w:cs="Times New Roman"/>
        </w:rPr>
      </w:pPr>
    </w:p>
    <w:p w:rsidR="002B2028" w:rsidRDefault="002B2028">
      <w:pPr>
        <w:pStyle w:val="Body"/>
        <w:spacing w:line="360" w:lineRule="auto"/>
        <w:ind w:left="360"/>
        <w:jc w:val="both"/>
        <w:rPr>
          <w:rFonts w:ascii="Times New Roman" w:eastAsia="Times New Roman" w:hAnsi="Times New Roman" w:cs="Times New Roman"/>
        </w:rPr>
      </w:pPr>
    </w:p>
    <w:p w:rsidR="002B2028" w:rsidRDefault="00A45ADA">
      <w:pPr>
        <w:pStyle w:val="Body"/>
        <w:spacing w:line="360" w:lineRule="auto"/>
        <w:ind w:left="360"/>
        <w:jc w:val="both"/>
        <w:rPr>
          <w:b/>
          <w:bCs/>
        </w:rPr>
      </w:pPr>
      <w:r>
        <w:rPr>
          <w:rFonts w:ascii="Times New Roman"/>
          <w:b/>
          <w:bCs/>
        </w:rPr>
        <w:t>Synthesis of results</w:t>
      </w:r>
    </w:p>
    <w:p w:rsidR="002B2028" w:rsidRDefault="00A45ADA">
      <w:pPr>
        <w:pStyle w:val="Body"/>
        <w:spacing w:line="360" w:lineRule="auto"/>
        <w:jc w:val="both"/>
      </w:pPr>
      <w:r>
        <w:rPr>
          <w:rFonts w:ascii="Times New Roman"/>
        </w:rPr>
        <w:t>The included studies generally reported clinical and occasionally radiographic outcomes. None of them reported patient-reported outcomes. As by study inclusion, all studies reported tooth loss data. In some cases, tooth loss data were reported for single-rooted teeth and for molars with and without FI in the patient cohort. Occasionally, only tooth loss data for molars were reported. Some studies reported data only on first and second molars, while other studies grouped third molars together as well. However, when possible an effort was made to extract data relative only to first and second molars. Studies focusing only AgP had been excluded. Some studies reported that the patient sample included both CP and AgP (</w:t>
      </w:r>
      <w:proofErr w:type="spellStart"/>
      <w:r>
        <w:rPr>
          <w:rFonts w:ascii="Times New Roman"/>
        </w:rPr>
        <w:t>Dannewitz</w:t>
      </w:r>
      <w:proofErr w:type="spellEnd"/>
      <w:r>
        <w:rPr>
          <w:rFonts w:ascii="Times New Roman"/>
        </w:rPr>
        <w:t xml:space="preserve"> et al. 2006, </w:t>
      </w:r>
      <w:proofErr w:type="spellStart"/>
      <w:r>
        <w:rPr>
          <w:rFonts w:ascii="Times New Roman"/>
        </w:rPr>
        <w:t>Salvi</w:t>
      </w:r>
      <w:proofErr w:type="spellEnd"/>
      <w:r>
        <w:rPr>
          <w:rFonts w:ascii="Times New Roman"/>
        </w:rPr>
        <w:t xml:space="preserve"> et al. 2014, </w:t>
      </w:r>
      <w:proofErr w:type="spellStart"/>
      <w:proofErr w:type="gramStart"/>
      <w:r>
        <w:rPr>
          <w:rFonts w:ascii="Times New Roman"/>
        </w:rPr>
        <w:t>Graetz</w:t>
      </w:r>
      <w:proofErr w:type="spellEnd"/>
      <w:proofErr w:type="gramEnd"/>
      <w:r>
        <w:rPr>
          <w:rFonts w:ascii="Times New Roman"/>
        </w:rPr>
        <w:t xml:space="preserve"> et al. 2015). Authors were contacted to obtain data regarding only CP, but this was possible for only one study (</w:t>
      </w:r>
      <w:proofErr w:type="spellStart"/>
      <w:r>
        <w:rPr>
          <w:rFonts w:ascii="Times New Roman"/>
        </w:rPr>
        <w:t>Dannewitz</w:t>
      </w:r>
      <w:proofErr w:type="spellEnd"/>
      <w:r>
        <w:rPr>
          <w:rFonts w:ascii="Times New Roman"/>
        </w:rPr>
        <w:t xml:space="preserve"> et al. 2006). Hence, data including both CP and a smaller subset of AgP patients were included for </w:t>
      </w:r>
      <w:proofErr w:type="spellStart"/>
      <w:r>
        <w:rPr>
          <w:rFonts w:ascii="Times New Roman"/>
        </w:rPr>
        <w:t>Salvi</w:t>
      </w:r>
      <w:proofErr w:type="spellEnd"/>
      <w:r>
        <w:rPr>
          <w:rFonts w:ascii="Times New Roman"/>
        </w:rPr>
        <w:t xml:space="preserve"> et al. 2014 and </w:t>
      </w:r>
      <w:proofErr w:type="spellStart"/>
      <w:r>
        <w:rPr>
          <w:rFonts w:ascii="Times New Roman"/>
        </w:rPr>
        <w:t>Graetz</w:t>
      </w:r>
      <w:proofErr w:type="spellEnd"/>
      <w:r>
        <w:rPr>
          <w:rFonts w:ascii="Times New Roman"/>
        </w:rPr>
        <w:t xml:space="preserve"> et </w:t>
      </w:r>
      <w:r>
        <w:rPr>
          <w:rFonts w:ascii="Times New Roman"/>
        </w:rPr>
        <w:lastRenderedPageBreak/>
        <w:t xml:space="preserve">al. 2015 (to note that the latter study reported no differences in tooth loss rates between AgP and CP). Only data on tooth loss following initial therapy (during maintenance care) were </w:t>
      </w:r>
      <w:proofErr w:type="spellStart"/>
      <w:r>
        <w:rPr>
          <w:rFonts w:ascii="Times New Roman"/>
        </w:rPr>
        <w:t>analysed</w:t>
      </w:r>
      <w:proofErr w:type="spellEnd"/>
      <w:r>
        <w:rPr>
          <w:rFonts w:ascii="Times New Roman"/>
        </w:rPr>
        <w:t>.</w:t>
      </w:r>
    </w:p>
    <w:p w:rsidR="002B2028" w:rsidRDefault="002B2028">
      <w:pPr>
        <w:pStyle w:val="Body"/>
        <w:spacing w:line="360" w:lineRule="auto"/>
        <w:jc w:val="both"/>
        <w:rPr>
          <w:rFonts w:ascii="Times New Roman" w:eastAsia="Times New Roman" w:hAnsi="Times New Roman" w:cs="Times New Roman"/>
        </w:rPr>
      </w:pPr>
    </w:p>
    <w:p w:rsidR="002B2028" w:rsidRDefault="00A45ADA">
      <w:pPr>
        <w:pStyle w:val="Body"/>
        <w:spacing w:line="360" w:lineRule="auto"/>
        <w:jc w:val="both"/>
        <w:rPr>
          <w:b/>
          <w:bCs/>
          <w:i/>
          <w:iCs/>
        </w:rPr>
      </w:pPr>
      <w:r>
        <w:rPr>
          <w:rFonts w:ascii="Times New Roman"/>
          <w:b/>
          <w:bCs/>
          <w:i/>
          <w:iCs/>
        </w:rPr>
        <w:t>Survival of molars with furcation involvement across all included studies</w:t>
      </w:r>
    </w:p>
    <w:p w:rsidR="002B2028" w:rsidRDefault="00A45ADA">
      <w:pPr>
        <w:pStyle w:val="Body"/>
        <w:spacing w:line="360" w:lineRule="auto"/>
        <w:jc w:val="both"/>
      </w:pPr>
      <w:r>
        <w:rPr>
          <w:rFonts w:ascii="Times New Roman"/>
        </w:rPr>
        <w:t xml:space="preserve">Grouping studies reporting data on tooth loss for molars with and without furcation involvement separately, a total of 8143 molars without furcation involvement and a total of 5772 molars with furcation involvement were included. Tooth survival ranged from 94 to 100% after 4 to 7.5 years in regeneration studies (Haney et al. 1997, </w:t>
      </w:r>
      <w:proofErr w:type="spellStart"/>
      <w:r>
        <w:rPr>
          <w:rFonts w:ascii="Times New Roman"/>
        </w:rPr>
        <w:t>Yukna</w:t>
      </w:r>
      <w:proofErr w:type="spellEnd"/>
      <w:r>
        <w:rPr>
          <w:rFonts w:ascii="Times New Roman"/>
        </w:rPr>
        <w:t xml:space="preserve"> &amp; </w:t>
      </w:r>
      <w:proofErr w:type="spellStart"/>
      <w:r>
        <w:rPr>
          <w:rFonts w:ascii="Times New Roman"/>
        </w:rPr>
        <w:t>Yukna</w:t>
      </w:r>
      <w:proofErr w:type="spellEnd"/>
      <w:r>
        <w:rPr>
          <w:rFonts w:ascii="Times New Roman"/>
        </w:rPr>
        <w:t xml:space="preserve"> 1997, </w:t>
      </w:r>
      <w:proofErr w:type="spellStart"/>
      <w:r>
        <w:rPr>
          <w:rFonts w:ascii="Times New Roman"/>
        </w:rPr>
        <w:t>Eickholz</w:t>
      </w:r>
      <w:proofErr w:type="spellEnd"/>
      <w:r>
        <w:rPr>
          <w:rFonts w:ascii="Times New Roman"/>
        </w:rPr>
        <w:t xml:space="preserve"> &amp; </w:t>
      </w:r>
      <w:proofErr w:type="spellStart"/>
      <w:r>
        <w:rPr>
          <w:rFonts w:ascii="Times New Roman"/>
        </w:rPr>
        <w:t>Hausmann</w:t>
      </w:r>
      <w:proofErr w:type="spellEnd"/>
      <w:r>
        <w:rPr>
          <w:rFonts w:ascii="Times New Roman"/>
        </w:rPr>
        <w:t xml:space="preserve"> 2002), 89% after 5.8 years in the study focusing on </w:t>
      </w:r>
      <w:proofErr w:type="spellStart"/>
      <w:r w:rsidR="00FB35FC">
        <w:rPr>
          <w:rFonts w:ascii="Times New Roman"/>
          <w:lang w:val="en-GB"/>
        </w:rPr>
        <w:t>tunneling</w:t>
      </w:r>
      <w:proofErr w:type="spellEnd"/>
      <w:r>
        <w:rPr>
          <w:rFonts w:ascii="Times New Roman"/>
        </w:rPr>
        <w:t xml:space="preserve"> (Little et al. 1995), 79% after a minimum of 4 years for the study focusing on root resection (</w:t>
      </w:r>
      <w:proofErr w:type="spellStart"/>
      <w:r>
        <w:rPr>
          <w:rFonts w:ascii="Times New Roman"/>
        </w:rPr>
        <w:t>Zafiropoulos</w:t>
      </w:r>
      <w:proofErr w:type="spellEnd"/>
      <w:r>
        <w:rPr>
          <w:rFonts w:ascii="Times New Roman"/>
        </w:rPr>
        <w:t xml:space="preserve"> et al. 2009) and 43-100% after 5 to 53 years for studies including combined therapies (</w:t>
      </w:r>
      <w:proofErr w:type="spellStart"/>
      <w:r>
        <w:rPr>
          <w:rFonts w:ascii="Times New Roman"/>
        </w:rPr>
        <w:t>Hirschfeld</w:t>
      </w:r>
      <w:proofErr w:type="spellEnd"/>
      <w:r>
        <w:rPr>
          <w:rFonts w:ascii="Times New Roman"/>
        </w:rPr>
        <w:t xml:space="preserve"> &amp; Wasserman 1978, </w:t>
      </w:r>
      <w:proofErr w:type="spellStart"/>
      <w:r>
        <w:rPr>
          <w:rFonts w:ascii="Times New Roman"/>
        </w:rPr>
        <w:t>McFall</w:t>
      </w:r>
      <w:proofErr w:type="spellEnd"/>
      <w:r>
        <w:rPr>
          <w:rFonts w:ascii="Times New Roman"/>
        </w:rPr>
        <w:t xml:space="preserve"> 1982, Goldman et al. 1986, Wood et al. 1989, </w:t>
      </w:r>
      <w:proofErr w:type="spellStart"/>
      <w:r>
        <w:rPr>
          <w:rFonts w:ascii="Times New Roman"/>
        </w:rPr>
        <w:t>Kuhrau</w:t>
      </w:r>
      <w:proofErr w:type="spellEnd"/>
      <w:r>
        <w:rPr>
          <w:rFonts w:ascii="Times New Roman"/>
        </w:rPr>
        <w:t xml:space="preserve"> et al. 1990, Wang et al. 1994, McGuire &amp; Nunn 1996, </w:t>
      </w:r>
      <w:proofErr w:type="spellStart"/>
      <w:r>
        <w:rPr>
          <w:rFonts w:ascii="Times New Roman"/>
        </w:rPr>
        <w:t>Checchi</w:t>
      </w:r>
      <w:proofErr w:type="spellEnd"/>
      <w:r>
        <w:rPr>
          <w:rFonts w:ascii="Times New Roman"/>
        </w:rPr>
        <w:t xml:space="preserve"> et al. 2002, </w:t>
      </w:r>
      <w:proofErr w:type="spellStart"/>
      <w:r>
        <w:rPr>
          <w:rFonts w:ascii="Times New Roman"/>
        </w:rPr>
        <w:t>Dannewitz</w:t>
      </w:r>
      <w:proofErr w:type="spellEnd"/>
      <w:r>
        <w:rPr>
          <w:rFonts w:ascii="Times New Roman"/>
        </w:rPr>
        <w:t xml:space="preserve"> et al. 2006, </w:t>
      </w:r>
      <w:proofErr w:type="spellStart"/>
      <w:r>
        <w:rPr>
          <w:rFonts w:ascii="Times New Roman"/>
        </w:rPr>
        <w:t>Pretzl</w:t>
      </w:r>
      <w:proofErr w:type="spellEnd"/>
      <w:r>
        <w:rPr>
          <w:rFonts w:ascii="Times New Roman"/>
        </w:rPr>
        <w:t xml:space="preserve"> et al. 2008, Johansson et al. 2013, Miller et al. 2014, </w:t>
      </w:r>
      <w:proofErr w:type="spellStart"/>
      <w:r>
        <w:rPr>
          <w:rFonts w:ascii="Times New Roman"/>
        </w:rPr>
        <w:t>Salvi</w:t>
      </w:r>
      <w:proofErr w:type="spellEnd"/>
      <w:r>
        <w:rPr>
          <w:rFonts w:ascii="Times New Roman"/>
        </w:rPr>
        <w:t xml:space="preserve"> et al. 2014, </w:t>
      </w:r>
      <w:proofErr w:type="spellStart"/>
      <w:r>
        <w:rPr>
          <w:rFonts w:ascii="Times New Roman"/>
        </w:rPr>
        <w:t>Graetz</w:t>
      </w:r>
      <w:proofErr w:type="spellEnd"/>
      <w:r>
        <w:rPr>
          <w:rFonts w:ascii="Times New Roman"/>
        </w:rPr>
        <w:t xml:space="preserve"> et al. 2015). Among teeth reported in these studies, the average tooth loss/year was 0.01 and 0.02 respectively for molars without and with furcation involvement. </w:t>
      </w:r>
    </w:p>
    <w:p w:rsidR="002B2028" w:rsidRDefault="00A45ADA">
      <w:pPr>
        <w:pStyle w:val="Body"/>
        <w:spacing w:line="360" w:lineRule="auto"/>
        <w:jc w:val="both"/>
      </w:pPr>
      <w:r>
        <w:br/>
      </w:r>
    </w:p>
    <w:p w:rsidR="002B2028" w:rsidRDefault="00A45ADA">
      <w:pPr>
        <w:pStyle w:val="Body"/>
        <w:spacing w:line="360" w:lineRule="auto"/>
        <w:jc w:val="both"/>
        <w:outlineLvl w:val="0"/>
        <w:rPr>
          <w:b/>
          <w:bCs/>
          <w:i/>
          <w:iCs/>
        </w:rPr>
      </w:pPr>
      <w:r>
        <w:rPr>
          <w:rFonts w:ascii="Times New Roman"/>
          <w:b/>
          <w:bCs/>
          <w:i/>
          <w:iCs/>
        </w:rPr>
        <w:t>Odds Ratio of Tooth Loss Based on Follow-Up Periods (3</w:t>
      </w:r>
      <w:r>
        <w:rPr>
          <w:rFonts w:ascii="Times New Roman"/>
          <w:b/>
          <w:bCs/>
          <w:i/>
          <w:iCs/>
          <w:vertAlign w:val="superscript"/>
        </w:rPr>
        <w:t>rd</w:t>
      </w:r>
      <w:r>
        <w:rPr>
          <w:rFonts w:ascii="Times New Roman"/>
          <w:b/>
          <w:bCs/>
          <w:i/>
          <w:iCs/>
        </w:rPr>
        <w:t xml:space="preserve"> molars excluded)</w:t>
      </w:r>
    </w:p>
    <w:p w:rsidR="002B2028" w:rsidRDefault="00A45ADA">
      <w:pPr>
        <w:pStyle w:val="Body"/>
        <w:spacing w:line="360" w:lineRule="auto"/>
        <w:jc w:val="both"/>
      </w:pPr>
      <w:r>
        <w:rPr>
          <w:rFonts w:ascii="Times New Roman"/>
        </w:rPr>
        <w:t>Nine studies (</w:t>
      </w:r>
      <w:proofErr w:type="spellStart"/>
      <w:r>
        <w:rPr>
          <w:rFonts w:ascii="Times New Roman"/>
        </w:rPr>
        <w:t>Hirschfeld</w:t>
      </w:r>
      <w:proofErr w:type="spellEnd"/>
      <w:r>
        <w:rPr>
          <w:rFonts w:ascii="Times New Roman"/>
        </w:rPr>
        <w:t xml:space="preserve"> &amp; Wasserman 1978, </w:t>
      </w:r>
      <w:proofErr w:type="spellStart"/>
      <w:r>
        <w:rPr>
          <w:rFonts w:ascii="Times New Roman"/>
        </w:rPr>
        <w:t>McFall</w:t>
      </w:r>
      <w:proofErr w:type="spellEnd"/>
      <w:r>
        <w:rPr>
          <w:rFonts w:ascii="Times New Roman"/>
        </w:rPr>
        <w:t xml:space="preserve"> 1982, Goldman et al. 1986, Wood et al. 1989, </w:t>
      </w:r>
      <w:proofErr w:type="spellStart"/>
      <w:r>
        <w:rPr>
          <w:rFonts w:ascii="Times New Roman"/>
        </w:rPr>
        <w:t>Dannewitz</w:t>
      </w:r>
      <w:proofErr w:type="spellEnd"/>
      <w:r>
        <w:rPr>
          <w:rFonts w:ascii="Times New Roman"/>
        </w:rPr>
        <w:t xml:space="preserve"> et al. 2006, </w:t>
      </w:r>
      <w:proofErr w:type="spellStart"/>
      <w:r>
        <w:rPr>
          <w:rFonts w:ascii="Times New Roman"/>
        </w:rPr>
        <w:t>Pretzl</w:t>
      </w:r>
      <w:proofErr w:type="spellEnd"/>
      <w:r>
        <w:rPr>
          <w:rFonts w:ascii="Times New Roman"/>
        </w:rPr>
        <w:t xml:space="preserve"> et al. 2008, Johansson et al. 2013, Miller et al. 2014, </w:t>
      </w:r>
      <w:proofErr w:type="spellStart"/>
      <w:r>
        <w:rPr>
          <w:rFonts w:ascii="Times New Roman"/>
        </w:rPr>
        <w:t>Graetz</w:t>
      </w:r>
      <w:proofErr w:type="spellEnd"/>
      <w:r>
        <w:rPr>
          <w:rFonts w:ascii="Times New Roman"/>
        </w:rPr>
        <w:t xml:space="preserve"> et al. 2015) reported data on tooth loss by furcation involvement excluding third molars. Meta-analysis for the comparison of tooth loss among selected studies presented an overall odds ratio of 3.76 (95% CI= 2.37 to 5.96) for molars with furcation involvement (p&lt; 0.0001) (Figure 3). For studies with a follow-up period of 5-10 years, 10-15 years, and &gt;15 years, the odds ratio of tooth loss between teeth with and without furcation involvement was 1.53 (95% CI= 0.99 to 2.35, p= 0.05), 2.71 (95% CI= 2.08 to 3.54, p&lt; 0.0001), and 6.67 (95% CI= 3.43 to 12.98, p&lt; 0.0001), respectively. The comparisons presented a low (p value for chi-square test= 0.40 and 0.56, and I</w:t>
      </w:r>
      <w:r>
        <w:rPr>
          <w:rFonts w:ascii="Times New Roman"/>
          <w:vertAlign w:val="superscript"/>
        </w:rPr>
        <w:t>2</w:t>
      </w:r>
      <w:r>
        <w:rPr>
          <w:rFonts w:ascii="Times New Roman"/>
        </w:rPr>
        <w:t xml:space="preserve"> test = 0% and 0%, for follow-up period of 5-10 years and 10-15 years subgroup analyses, respectively) to high (p value for chi-square test &lt;0.0001 and I</w:t>
      </w:r>
      <w:r>
        <w:rPr>
          <w:rFonts w:ascii="Times New Roman"/>
          <w:vertAlign w:val="superscript"/>
        </w:rPr>
        <w:t>2</w:t>
      </w:r>
      <w:r>
        <w:rPr>
          <w:rFonts w:ascii="Times New Roman"/>
        </w:rPr>
        <w:t xml:space="preserve"> test = 96% for follow-up period of &gt;15 years subgroup analysis) degree of heterogeneity among selected studies. The </w:t>
      </w:r>
      <w:r>
        <w:rPr>
          <w:rFonts w:ascii="Times New Roman"/>
        </w:rPr>
        <w:lastRenderedPageBreak/>
        <w:t>combined effect for all subgroups also showed a high heterogeneity among studies (p value for chi-square test &lt;0.0001 and I</w:t>
      </w:r>
      <w:r>
        <w:rPr>
          <w:rFonts w:ascii="Times New Roman"/>
          <w:vertAlign w:val="superscript"/>
        </w:rPr>
        <w:t>2</w:t>
      </w:r>
      <w:r>
        <w:rPr>
          <w:rFonts w:ascii="Times New Roman"/>
        </w:rPr>
        <w:t xml:space="preserve"> test= 93%). </w:t>
      </w:r>
    </w:p>
    <w:p w:rsidR="002B2028" w:rsidRDefault="00A45ADA">
      <w:pPr>
        <w:pStyle w:val="Body"/>
        <w:spacing w:line="360" w:lineRule="auto"/>
        <w:jc w:val="both"/>
        <w:outlineLvl w:val="0"/>
        <w:rPr>
          <w:b/>
          <w:bCs/>
          <w:i/>
          <w:iCs/>
        </w:rPr>
      </w:pPr>
      <w:r>
        <w:rPr>
          <w:rFonts w:ascii="Times New Roman"/>
          <w:b/>
          <w:bCs/>
          <w:i/>
          <w:iCs/>
        </w:rPr>
        <w:t>Odds Ratio of Tooth Loss Based on Follow-Up Periods (3</w:t>
      </w:r>
      <w:r>
        <w:rPr>
          <w:rFonts w:ascii="Times New Roman"/>
          <w:b/>
          <w:bCs/>
          <w:i/>
          <w:iCs/>
          <w:vertAlign w:val="superscript"/>
        </w:rPr>
        <w:t>rd</w:t>
      </w:r>
      <w:r>
        <w:rPr>
          <w:rFonts w:ascii="Times New Roman"/>
          <w:b/>
          <w:bCs/>
          <w:i/>
          <w:iCs/>
        </w:rPr>
        <w:t xml:space="preserve"> molars included)</w:t>
      </w:r>
    </w:p>
    <w:p w:rsidR="002B2028" w:rsidRDefault="00A45ADA">
      <w:pPr>
        <w:pStyle w:val="Body"/>
        <w:spacing w:line="360" w:lineRule="auto"/>
        <w:jc w:val="both"/>
      </w:pPr>
      <w:r>
        <w:rPr>
          <w:rFonts w:ascii="Times New Roman"/>
        </w:rPr>
        <w:t>Thirteen studies (</w:t>
      </w:r>
      <w:proofErr w:type="spellStart"/>
      <w:r>
        <w:rPr>
          <w:rFonts w:ascii="Times New Roman"/>
        </w:rPr>
        <w:t>Hirschfeld</w:t>
      </w:r>
      <w:proofErr w:type="spellEnd"/>
      <w:r>
        <w:rPr>
          <w:rFonts w:ascii="Times New Roman"/>
        </w:rPr>
        <w:t xml:space="preserve"> &amp; Wasserman 1978, </w:t>
      </w:r>
      <w:proofErr w:type="spellStart"/>
      <w:r>
        <w:rPr>
          <w:rFonts w:ascii="Times New Roman"/>
        </w:rPr>
        <w:t>McFall</w:t>
      </w:r>
      <w:proofErr w:type="spellEnd"/>
      <w:r>
        <w:rPr>
          <w:rFonts w:ascii="Times New Roman"/>
        </w:rPr>
        <w:t xml:space="preserve"> 1982, Goldman et al. 1986, Wood et al. 1989, </w:t>
      </w:r>
      <w:proofErr w:type="spellStart"/>
      <w:r>
        <w:rPr>
          <w:rFonts w:ascii="Times New Roman"/>
        </w:rPr>
        <w:t>Kuhrau</w:t>
      </w:r>
      <w:proofErr w:type="spellEnd"/>
      <w:r>
        <w:rPr>
          <w:rFonts w:ascii="Times New Roman"/>
        </w:rPr>
        <w:t xml:space="preserve"> et al. 1990, Wang et al. 1994, </w:t>
      </w:r>
      <w:proofErr w:type="spellStart"/>
      <w:r>
        <w:rPr>
          <w:rFonts w:ascii="Times New Roman"/>
        </w:rPr>
        <w:t>Checchi</w:t>
      </w:r>
      <w:proofErr w:type="spellEnd"/>
      <w:r>
        <w:rPr>
          <w:rFonts w:ascii="Times New Roman"/>
        </w:rPr>
        <w:t xml:space="preserve"> et al. 2002, </w:t>
      </w:r>
      <w:proofErr w:type="spellStart"/>
      <w:r>
        <w:rPr>
          <w:rFonts w:ascii="Times New Roman"/>
        </w:rPr>
        <w:t>Dannewitz</w:t>
      </w:r>
      <w:proofErr w:type="spellEnd"/>
      <w:r>
        <w:rPr>
          <w:rFonts w:ascii="Times New Roman"/>
        </w:rPr>
        <w:t xml:space="preserve"> et al. 2006, </w:t>
      </w:r>
      <w:proofErr w:type="spellStart"/>
      <w:r>
        <w:rPr>
          <w:rFonts w:ascii="Times New Roman"/>
        </w:rPr>
        <w:t>Pretzl</w:t>
      </w:r>
      <w:proofErr w:type="spellEnd"/>
      <w:r>
        <w:rPr>
          <w:rFonts w:ascii="Times New Roman"/>
        </w:rPr>
        <w:t xml:space="preserve"> et al. 2008, Johansson et al. 2013, Miller et al. 2014, </w:t>
      </w:r>
      <w:proofErr w:type="spellStart"/>
      <w:r>
        <w:rPr>
          <w:rFonts w:ascii="Times New Roman"/>
        </w:rPr>
        <w:t>Salvi</w:t>
      </w:r>
      <w:proofErr w:type="spellEnd"/>
      <w:r>
        <w:rPr>
          <w:rFonts w:ascii="Times New Roman"/>
        </w:rPr>
        <w:t xml:space="preserve"> et al. 2014, </w:t>
      </w:r>
      <w:proofErr w:type="spellStart"/>
      <w:r>
        <w:rPr>
          <w:rFonts w:ascii="Times New Roman"/>
        </w:rPr>
        <w:t>Graetz</w:t>
      </w:r>
      <w:proofErr w:type="spellEnd"/>
      <w:r>
        <w:rPr>
          <w:rFonts w:ascii="Times New Roman"/>
        </w:rPr>
        <w:t xml:space="preserve"> et al. 2015) reported data on tooth loss with and without furcation involvement. Overall, only small changes to the summary estimate for risk of tooth loss by FI were detected when they were included, compared to when only first and second molars were included (Figure 2). </w:t>
      </w:r>
    </w:p>
    <w:p w:rsidR="002B2028" w:rsidRDefault="002B2028">
      <w:pPr>
        <w:pStyle w:val="Body"/>
        <w:spacing w:line="360" w:lineRule="auto"/>
        <w:jc w:val="both"/>
      </w:pPr>
    </w:p>
    <w:p w:rsidR="002B2028" w:rsidRDefault="00A45ADA">
      <w:pPr>
        <w:pStyle w:val="Body"/>
        <w:spacing w:line="360" w:lineRule="auto"/>
        <w:jc w:val="both"/>
      </w:pPr>
      <w:r>
        <w:rPr>
          <w:rFonts w:ascii="Times New Roman"/>
        </w:rPr>
        <w:t xml:space="preserve"> </w:t>
      </w:r>
    </w:p>
    <w:p w:rsidR="002B2028" w:rsidRDefault="00A45ADA">
      <w:pPr>
        <w:pStyle w:val="Body"/>
        <w:spacing w:line="360" w:lineRule="auto"/>
        <w:jc w:val="both"/>
        <w:outlineLvl w:val="0"/>
        <w:rPr>
          <w:b/>
          <w:bCs/>
          <w:i/>
          <w:iCs/>
        </w:rPr>
      </w:pPr>
      <w:r>
        <w:rPr>
          <w:rFonts w:ascii="Times New Roman"/>
          <w:b/>
          <w:bCs/>
          <w:i/>
          <w:iCs/>
        </w:rPr>
        <w:t>Odds Ratio of Tooth Loss Based on Degrees of Furcation Involvement (3</w:t>
      </w:r>
      <w:r>
        <w:rPr>
          <w:rFonts w:ascii="Times New Roman"/>
          <w:b/>
          <w:bCs/>
          <w:i/>
          <w:iCs/>
          <w:vertAlign w:val="superscript"/>
        </w:rPr>
        <w:t>rd</w:t>
      </w:r>
      <w:r>
        <w:rPr>
          <w:rFonts w:ascii="Times New Roman"/>
          <w:b/>
          <w:bCs/>
          <w:i/>
          <w:iCs/>
        </w:rPr>
        <w:t xml:space="preserve"> molars excluded)</w:t>
      </w:r>
    </w:p>
    <w:p w:rsidR="002B2028" w:rsidRDefault="00A45ADA">
      <w:pPr>
        <w:pStyle w:val="Body"/>
        <w:spacing w:line="360" w:lineRule="auto"/>
        <w:jc w:val="both"/>
      </w:pPr>
      <w:r>
        <w:rPr>
          <w:rFonts w:ascii="Times New Roman"/>
        </w:rPr>
        <w:t xml:space="preserve">When studies reporting tooth loss by degree of FI were considered (McGuire &amp; Nunn 1996, </w:t>
      </w:r>
      <w:proofErr w:type="spellStart"/>
      <w:r>
        <w:rPr>
          <w:rFonts w:ascii="Times New Roman"/>
        </w:rPr>
        <w:t>Dannewitz</w:t>
      </w:r>
      <w:proofErr w:type="spellEnd"/>
      <w:r>
        <w:rPr>
          <w:rFonts w:ascii="Times New Roman"/>
        </w:rPr>
        <w:t xml:space="preserve"> et al. 2006, Johansson et al. 2013, </w:t>
      </w:r>
      <w:proofErr w:type="spellStart"/>
      <w:r>
        <w:rPr>
          <w:rFonts w:ascii="Times New Roman"/>
        </w:rPr>
        <w:t>Salvi</w:t>
      </w:r>
      <w:proofErr w:type="spellEnd"/>
      <w:r>
        <w:rPr>
          <w:rFonts w:ascii="Times New Roman"/>
        </w:rPr>
        <w:t xml:space="preserve"> et al. 2014, </w:t>
      </w:r>
      <w:proofErr w:type="spellStart"/>
      <w:r>
        <w:rPr>
          <w:rFonts w:ascii="Times New Roman"/>
        </w:rPr>
        <w:t>Graetz</w:t>
      </w:r>
      <w:proofErr w:type="spellEnd"/>
      <w:r>
        <w:rPr>
          <w:rFonts w:ascii="Times New Roman"/>
        </w:rPr>
        <w:t xml:space="preserve"> et al. 2015), we observed that respectively 8%, 18% and 30% of teeth with furcation degree I, II and III were lost in the follow-up period (0.01, 0.02 and 0.03 teeth/patient/year). Meta-analysis for the comparison of tooth loss among included studies presented an odds ratio of 1.86 (95% CI= 1.17 to 2.97, p= 0.009), 2.41 (95% CI= 1.60 to 3.63, p&lt; 0.0001) and 4.50 (95% CI= 3.15 to 6.42, p&lt; 0.0001) for furcation involvement degree II vs. I, degree III vs. II and degree III vs. I respectively (Figure 4). The comparisons presented a low to moderate degree of heterogeneity among selected studies (p value for chi-square test= 0.04, 0.20 and 0.26, and I</w:t>
      </w:r>
      <w:r>
        <w:rPr>
          <w:rFonts w:ascii="Times New Roman"/>
          <w:vertAlign w:val="superscript"/>
        </w:rPr>
        <w:t>2</w:t>
      </w:r>
      <w:r>
        <w:rPr>
          <w:rFonts w:ascii="Times New Roman"/>
        </w:rPr>
        <w:t xml:space="preserve"> test = 61%, 33% and 25%, for degree II vs. I, degree III vs. II and degree III vs. I comparisons respectively). </w:t>
      </w:r>
    </w:p>
    <w:p w:rsidR="002B2028" w:rsidRDefault="002B2028">
      <w:pPr>
        <w:pStyle w:val="Body"/>
        <w:spacing w:line="360" w:lineRule="auto"/>
        <w:jc w:val="both"/>
        <w:rPr>
          <w:rFonts w:ascii="Times New Roman" w:eastAsia="Times New Roman" w:hAnsi="Times New Roman" w:cs="Times New Roman"/>
        </w:rPr>
      </w:pPr>
    </w:p>
    <w:p w:rsidR="002B2028" w:rsidRDefault="00A45ADA">
      <w:pPr>
        <w:pStyle w:val="Body"/>
        <w:spacing w:line="360" w:lineRule="auto"/>
        <w:jc w:val="both"/>
        <w:outlineLvl w:val="0"/>
        <w:rPr>
          <w:b/>
          <w:bCs/>
          <w:i/>
          <w:iCs/>
        </w:rPr>
      </w:pPr>
      <w:r>
        <w:rPr>
          <w:rFonts w:ascii="Times New Roman"/>
          <w:b/>
          <w:bCs/>
          <w:i/>
          <w:iCs/>
        </w:rPr>
        <w:t xml:space="preserve">Risk of bias assessment </w:t>
      </w:r>
    </w:p>
    <w:p w:rsidR="002B2028" w:rsidRDefault="00A45ADA">
      <w:pPr>
        <w:pStyle w:val="Body"/>
        <w:spacing w:line="360" w:lineRule="auto"/>
        <w:jc w:val="both"/>
        <w:outlineLvl w:val="0"/>
      </w:pPr>
      <w:r>
        <w:rPr>
          <w:rFonts w:ascii="Times New Roman"/>
        </w:rPr>
        <w:t xml:space="preserve">Risk of bias analyses performed using the Newcastle Ottawa scale showed that study quality scores ranged from a total of 4 to a total of 5 (out of a maximum total of 9 stars) (table 3). Funnel plots of meta-analysis of odds ratios for tooth loss based on follow-up periods and degrees of furcation involvement are reported in </w:t>
      </w:r>
      <w:r w:rsidR="00211660">
        <w:rPr>
          <w:rFonts w:ascii="Times New Roman"/>
        </w:rPr>
        <w:t>supplemental material</w:t>
      </w:r>
      <w:r>
        <w:rPr>
          <w:rFonts w:ascii="Times New Roman"/>
        </w:rPr>
        <w:t xml:space="preserve"> </w:t>
      </w:r>
      <w:r w:rsidR="00211660">
        <w:rPr>
          <w:rFonts w:ascii="Times New Roman"/>
        </w:rPr>
        <w:t xml:space="preserve">4, </w:t>
      </w:r>
      <w:r>
        <w:rPr>
          <w:rFonts w:ascii="Times New Roman"/>
        </w:rPr>
        <w:t>5</w:t>
      </w:r>
      <w:r w:rsidR="00211660">
        <w:rPr>
          <w:rFonts w:ascii="Times New Roman"/>
        </w:rPr>
        <w:t xml:space="preserve"> and</w:t>
      </w:r>
      <w:r>
        <w:rPr>
          <w:rFonts w:ascii="Times New Roman"/>
        </w:rPr>
        <w:t xml:space="preserve"> 6. These funnel plots were relatively asymmetrical, which implied potential publication bias. The asymmetrical result of the funnel plots might result from a lack of small sample studies included in the current systematic review since most of the selected studies were retrospective with a relatively large sample size. </w:t>
      </w:r>
    </w:p>
    <w:p w:rsidR="002B2028" w:rsidRDefault="00A45ADA">
      <w:pPr>
        <w:pStyle w:val="Body"/>
        <w:spacing w:line="360" w:lineRule="auto"/>
        <w:jc w:val="both"/>
        <w:outlineLvl w:val="0"/>
        <w:rPr>
          <w:b/>
          <w:bCs/>
          <w:i/>
          <w:iCs/>
        </w:rPr>
      </w:pPr>
      <w:r>
        <w:lastRenderedPageBreak/>
        <w:br/>
      </w:r>
    </w:p>
    <w:p w:rsidR="002B2028" w:rsidRDefault="002B2028">
      <w:pPr>
        <w:pStyle w:val="Body"/>
        <w:spacing w:line="360" w:lineRule="auto"/>
        <w:jc w:val="both"/>
        <w:rPr>
          <w:rFonts w:ascii="Times New Roman" w:eastAsia="Times New Roman" w:hAnsi="Times New Roman" w:cs="Times New Roman"/>
        </w:rPr>
      </w:pPr>
    </w:p>
    <w:p w:rsidR="002B2028" w:rsidRDefault="00A45ADA">
      <w:pPr>
        <w:pStyle w:val="Body"/>
        <w:spacing w:line="360" w:lineRule="auto"/>
        <w:ind w:left="360"/>
        <w:rPr>
          <w:b/>
          <w:bCs/>
        </w:rPr>
      </w:pPr>
      <w:r>
        <w:rPr>
          <w:rFonts w:ascii="Times New Roman"/>
          <w:b/>
          <w:bCs/>
          <w:lang w:val="de-DE"/>
        </w:rPr>
        <w:t>DISCUSSION</w:t>
      </w:r>
    </w:p>
    <w:p w:rsidR="002B2028" w:rsidRDefault="00A45ADA">
      <w:pPr>
        <w:pStyle w:val="Body"/>
        <w:tabs>
          <w:tab w:val="left" w:pos="360"/>
        </w:tabs>
        <w:spacing w:line="360" w:lineRule="auto"/>
        <w:ind w:right="4"/>
        <w:jc w:val="both"/>
      </w:pPr>
      <w:r>
        <w:rPr>
          <w:rFonts w:ascii="Times New Roman"/>
        </w:rPr>
        <w:t xml:space="preserve">This is the first systematic review, to our knowledge, to provide summary measures of risk of tooth loss in teeth with and without furcation involvement in chronic periodontitis. Acknowledging that it is difficult to </w:t>
      </w:r>
      <w:proofErr w:type="spellStart"/>
      <w:r>
        <w:rPr>
          <w:rFonts w:ascii="Times New Roman"/>
        </w:rPr>
        <w:t>summarise</w:t>
      </w:r>
      <w:proofErr w:type="spellEnd"/>
      <w:r>
        <w:rPr>
          <w:rFonts w:ascii="Times New Roman"/>
        </w:rPr>
        <w:t xml:space="preserve"> disease progression measured as PPD and CAL changes in studies in different settings and with different examiners and study protocols, we believed that the objective measure </w:t>
      </w:r>
      <w:r>
        <w:rPr>
          <w:rFonts w:hAnsi="Arial Unicode MS"/>
        </w:rPr>
        <w:t>‘</w:t>
      </w:r>
      <w:r>
        <w:rPr>
          <w:rFonts w:ascii="Times New Roman"/>
        </w:rPr>
        <w:t>tooth loss</w:t>
      </w:r>
      <w:r>
        <w:rPr>
          <w:rFonts w:hAnsi="Arial Unicode MS"/>
        </w:rPr>
        <w:t>’</w:t>
      </w:r>
      <w:r>
        <w:rPr>
          <w:rFonts w:ascii="Times New Roman"/>
        </w:rPr>
        <w:t xml:space="preserve"> might be the best ultimate objective measure of disease progression reflecting different responses in teeth affected or not by furcation involvement. Although it is commonly thought that FI would affect tooth loss, no data so far were available for a direct comparison of this measure across different studies. This systematic review provides evidence to suggest that FI approximately doubles the risk of tooth loss for molars in supportive periodontal therapy for up to 10-15 years. In particular, first and second molars with furcation involvement had an OR of tooth loss of 1.53 (p=0.05) up to 10 years and of 2.71 from 10 to 15 years (p&lt;0.0001) compared with molars with no furcation involvement (OR 1.79 and 2.41 respectively including third molars). A 5 to 6 times higher risk of tooth loss was observed for studies with longer follow-ups (&gt;15 years, up to 53 years), although data relative to this outcome have to be interpreted cautiously due to high heterogeneity. Furthermore, this review provides evidence that the degree of FI (</w:t>
      </w:r>
      <w:proofErr w:type="spellStart"/>
      <w:r>
        <w:rPr>
          <w:rFonts w:ascii="Times New Roman"/>
        </w:rPr>
        <w:t>Hamp</w:t>
      </w:r>
      <w:proofErr w:type="spellEnd"/>
      <w:r>
        <w:rPr>
          <w:rFonts w:ascii="Times New Roman"/>
        </w:rPr>
        <w:t xml:space="preserve"> et al. 1975) is significantly associated with risk of tooth loss, increasing from furcation degree I to II to III. No data were available to assess risk of tooth loss by FI in the absence of periodontal therapy/maintenance.</w:t>
      </w:r>
    </w:p>
    <w:p w:rsidR="002B2028" w:rsidRDefault="002B2028">
      <w:pPr>
        <w:pStyle w:val="Body"/>
        <w:tabs>
          <w:tab w:val="left" w:pos="360"/>
        </w:tabs>
        <w:spacing w:line="360" w:lineRule="auto"/>
        <w:ind w:right="4"/>
        <w:jc w:val="both"/>
        <w:rPr>
          <w:rFonts w:ascii="Times New Roman" w:eastAsia="Times New Roman" w:hAnsi="Times New Roman" w:cs="Times New Roman"/>
        </w:rPr>
      </w:pPr>
    </w:p>
    <w:p w:rsidR="002B2028" w:rsidRDefault="002B2028">
      <w:pPr>
        <w:pStyle w:val="Body"/>
        <w:tabs>
          <w:tab w:val="left" w:pos="360"/>
        </w:tabs>
        <w:spacing w:line="360" w:lineRule="auto"/>
        <w:ind w:right="4"/>
        <w:jc w:val="both"/>
        <w:rPr>
          <w:rFonts w:ascii="Times New Roman" w:eastAsia="Times New Roman" w:hAnsi="Times New Roman" w:cs="Times New Roman"/>
        </w:rPr>
      </w:pPr>
    </w:p>
    <w:p w:rsidR="002B2028" w:rsidRDefault="00A45ADA">
      <w:pPr>
        <w:pStyle w:val="Body"/>
        <w:tabs>
          <w:tab w:val="left" w:pos="360"/>
        </w:tabs>
        <w:spacing w:line="360" w:lineRule="auto"/>
        <w:ind w:right="4"/>
        <w:jc w:val="both"/>
      </w:pPr>
      <w:r>
        <w:rPr>
          <w:rFonts w:ascii="Times New Roman"/>
        </w:rPr>
        <w:t>Recent systematic reviews on furcations focused on short-term outcomes, concluding that degree II furcations show significant improvement 6 months after access flap surgery (</w:t>
      </w:r>
      <w:proofErr w:type="spellStart"/>
      <w:r>
        <w:rPr>
          <w:rFonts w:ascii="Times New Roman"/>
        </w:rPr>
        <w:t>Graziani</w:t>
      </w:r>
      <w:proofErr w:type="spellEnd"/>
      <w:r>
        <w:rPr>
          <w:rFonts w:ascii="Times New Roman"/>
        </w:rPr>
        <w:t xml:space="preserve"> et al. 2015) and could be successfully treated with regenerative surgery, especially with a combined regenerative approach (Reddy et al. 2015). The current review show that tooth survival ranged from 94 to 100% after 4 to 7.5 years in regeneration studies (Haney et al. 1997, </w:t>
      </w:r>
      <w:proofErr w:type="spellStart"/>
      <w:r>
        <w:rPr>
          <w:rFonts w:ascii="Times New Roman"/>
        </w:rPr>
        <w:t>Yukna</w:t>
      </w:r>
      <w:proofErr w:type="spellEnd"/>
      <w:r>
        <w:rPr>
          <w:rFonts w:ascii="Times New Roman"/>
        </w:rPr>
        <w:t xml:space="preserve"> &amp; </w:t>
      </w:r>
      <w:proofErr w:type="spellStart"/>
      <w:r>
        <w:rPr>
          <w:rFonts w:ascii="Times New Roman"/>
        </w:rPr>
        <w:t>Yukna</w:t>
      </w:r>
      <w:proofErr w:type="spellEnd"/>
      <w:r>
        <w:rPr>
          <w:rFonts w:ascii="Times New Roman"/>
        </w:rPr>
        <w:t xml:space="preserve"> 1997, </w:t>
      </w:r>
      <w:proofErr w:type="spellStart"/>
      <w:r>
        <w:rPr>
          <w:rFonts w:ascii="Times New Roman"/>
        </w:rPr>
        <w:t>Eickholz</w:t>
      </w:r>
      <w:proofErr w:type="spellEnd"/>
      <w:r>
        <w:rPr>
          <w:rFonts w:ascii="Times New Roman"/>
        </w:rPr>
        <w:t xml:space="preserve"> &amp; </w:t>
      </w:r>
      <w:proofErr w:type="spellStart"/>
      <w:r>
        <w:rPr>
          <w:rFonts w:ascii="Times New Roman"/>
        </w:rPr>
        <w:t>Hausmann</w:t>
      </w:r>
      <w:proofErr w:type="spellEnd"/>
      <w:r>
        <w:rPr>
          <w:rFonts w:ascii="Times New Roman"/>
        </w:rPr>
        <w:t xml:space="preserve"> 2002), 89% after 5.8 years in the study focusing on </w:t>
      </w:r>
      <w:proofErr w:type="spellStart"/>
      <w:r w:rsidR="00FB35FC">
        <w:rPr>
          <w:rFonts w:ascii="Times New Roman"/>
          <w:lang w:val="en-GB"/>
        </w:rPr>
        <w:t>tunneling</w:t>
      </w:r>
      <w:proofErr w:type="spellEnd"/>
      <w:r>
        <w:rPr>
          <w:rFonts w:ascii="Times New Roman"/>
        </w:rPr>
        <w:t xml:space="preserve"> (Little et al. 1995), 79% after a minimum of 4 years for the study focusing on root resection (</w:t>
      </w:r>
      <w:proofErr w:type="spellStart"/>
      <w:r>
        <w:rPr>
          <w:rFonts w:ascii="Times New Roman"/>
        </w:rPr>
        <w:t>Zafiropoulos</w:t>
      </w:r>
      <w:proofErr w:type="spellEnd"/>
      <w:r>
        <w:rPr>
          <w:rFonts w:ascii="Times New Roman"/>
        </w:rPr>
        <w:t xml:space="preserve"> et al. 2009) and 43-100% after 5 to 53 years for studies including </w:t>
      </w:r>
      <w:r>
        <w:rPr>
          <w:rFonts w:ascii="Times New Roman"/>
        </w:rPr>
        <w:lastRenderedPageBreak/>
        <w:t>combined non-surgical and various surgical approaches (</w:t>
      </w:r>
      <w:proofErr w:type="spellStart"/>
      <w:r>
        <w:rPr>
          <w:rFonts w:ascii="Times New Roman"/>
        </w:rPr>
        <w:t>Hirschfeld</w:t>
      </w:r>
      <w:proofErr w:type="spellEnd"/>
      <w:r>
        <w:rPr>
          <w:rFonts w:ascii="Times New Roman"/>
        </w:rPr>
        <w:t xml:space="preserve"> &amp; Wasserman 1978, </w:t>
      </w:r>
      <w:proofErr w:type="spellStart"/>
      <w:r>
        <w:rPr>
          <w:rFonts w:ascii="Times New Roman"/>
        </w:rPr>
        <w:t>McFall</w:t>
      </w:r>
      <w:proofErr w:type="spellEnd"/>
      <w:r>
        <w:rPr>
          <w:rFonts w:ascii="Times New Roman"/>
        </w:rPr>
        <w:t xml:space="preserve"> 1982, Goldman et al. 1986, Wood et al. 1989, </w:t>
      </w:r>
      <w:proofErr w:type="spellStart"/>
      <w:r>
        <w:rPr>
          <w:rFonts w:ascii="Times New Roman"/>
        </w:rPr>
        <w:t>Kuhrau</w:t>
      </w:r>
      <w:proofErr w:type="spellEnd"/>
      <w:r>
        <w:rPr>
          <w:rFonts w:ascii="Times New Roman"/>
        </w:rPr>
        <w:t xml:space="preserve"> et al. 1990, Wang et al. 1994, McGuire &amp; Nunn 1996, </w:t>
      </w:r>
      <w:proofErr w:type="spellStart"/>
      <w:r>
        <w:rPr>
          <w:rFonts w:ascii="Times New Roman"/>
        </w:rPr>
        <w:t>Checchi</w:t>
      </w:r>
      <w:proofErr w:type="spellEnd"/>
      <w:r>
        <w:rPr>
          <w:rFonts w:ascii="Times New Roman"/>
        </w:rPr>
        <w:t xml:space="preserve"> et al. 2002, </w:t>
      </w:r>
      <w:proofErr w:type="spellStart"/>
      <w:r>
        <w:rPr>
          <w:rFonts w:ascii="Times New Roman"/>
        </w:rPr>
        <w:t>Dannewitz</w:t>
      </w:r>
      <w:proofErr w:type="spellEnd"/>
      <w:r>
        <w:rPr>
          <w:rFonts w:ascii="Times New Roman"/>
        </w:rPr>
        <w:t xml:space="preserve"> et al. 2006, </w:t>
      </w:r>
      <w:proofErr w:type="spellStart"/>
      <w:r>
        <w:rPr>
          <w:rFonts w:ascii="Times New Roman"/>
        </w:rPr>
        <w:t>Pretzl</w:t>
      </w:r>
      <w:proofErr w:type="spellEnd"/>
      <w:r>
        <w:rPr>
          <w:rFonts w:ascii="Times New Roman"/>
        </w:rPr>
        <w:t xml:space="preserve"> et al. 2008, Johansson et al. 2013, Miller et al. 2014, </w:t>
      </w:r>
      <w:proofErr w:type="spellStart"/>
      <w:r>
        <w:rPr>
          <w:rFonts w:ascii="Times New Roman"/>
        </w:rPr>
        <w:t>Salvi</w:t>
      </w:r>
      <w:proofErr w:type="spellEnd"/>
      <w:r>
        <w:rPr>
          <w:rFonts w:ascii="Times New Roman"/>
        </w:rPr>
        <w:t xml:space="preserve"> et al. 2014, </w:t>
      </w:r>
      <w:proofErr w:type="spellStart"/>
      <w:r>
        <w:rPr>
          <w:rFonts w:ascii="Times New Roman"/>
        </w:rPr>
        <w:t>Graetz</w:t>
      </w:r>
      <w:proofErr w:type="spellEnd"/>
      <w:r>
        <w:rPr>
          <w:rFonts w:ascii="Times New Roman"/>
        </w:rPr>
        <w:t xml:space="preserve"> et al. 2015).  It was not possible to sub-</w:t>
      </w:r>
      <w:proofErr w:type="spellStart"/>
      <w:r>
        <w:rPr>
          <w:rFonts w:ascii="Times New Roman"/>
        </w:rPr>
        <w:t>analyse</w:t>
      </w:r>
      <w:proofErr w:type="spellEnd"/>
      <w:r>
        <w:rPr>
          <w:rFonts w:ascii="Times New Roman"/>
        </w:rPr>
        <w:t xml:space="preserve"> risk of tooth loss based on treatment provided within each study, owing to lack of systematic data on tooth loss according to the various treatment approaches across different studies. Endodontic complications, caries, fractures were often reported as cause of tooth loss alongside periodontal disease progression (</w:t>
      </w:r>
      <w:proofErr w:type="spellStart"/>
      <w:r>
        <w:rPr>
          <w:rFonts w:ascii="Times New Roman"/>
        </w:rPr>
        <w:t>Kuhrau</w:t>
      </w:r>
      <w:proofErr w:type="spellEnd"/>
      <w:r>
        <w:rPr>
          <w:rFonts w:ascii="Times New Roman"/>
        </w:rPr>
        <w:t xml:space="preserve"> et al. 1990, McLeod et al. 1998, Haney et al. 1997, </w:t>
      </w:r>
      <w:proofErr w:type="spellStart"/>
      <w:r>
        <w:rPr>
          <w:rFonts w:ascii="Times New Roman"/>
        </w:rPr>
        <w:t>Yukna</w:t>
      </w:r>
      <w:proofErr w:type="spellEnd"/>
      <w:r>
        <w:rPr>
          <w:rFonts w:ascii="Times New Roman"/>
        </w:rPr>
        <w:t xml:space="preserve"> &amp; </w:t>
      </w:r>
      <w:proofErr w:type="spellStart"/>
      <w:r>
        <w:rPr>
          <w:rFonts w:ascii="Times New Roman"/>
        </w:rPr>
        <w:t>Yukna</w:t>
      </w:r>
      <w:proofErr w:type="spellEnd"/>
      <w:r>
        <w:rPr>
          <w:rFonts w:ascii="Times New Roman"/>
        </w:rPr>
        <w:t xml:space="preserve"> 1997, </w:t>
      </w:r>
      <w:proofErr w:type="spellStart"/>
      <w:r>
        <w:rPr>
          <w:rFonts w:ascii="Times New Roman"/>
        </w:rPr>
        <w:t>Dannewitz</w:t>
      </w:r>
      <w:proofErr w:type="spellEnd"/>
      <w:r>
        <w:rPr>
          <w:rFonts w:ascii="Times New Roman"/>
        </w:rPr>
        <w:t xml:space="preserve"> et al. 2006). Only studies with </w:t>
      </w:r>
      <w:r>
        <w:rPr>
          <w:rFonts w:hAnsi="Arial Unicode MS"/>
        </w:rPr>
        <w:t>‘</w:t>
      </w:r>
      <w:r>
        <w:rPr>
          <w:rFonts w:ascii="Times New Roman"/>
        </w:rPr>
        <w:t>secure</w:t>
      </w:r>
      <w:r>
        <w:rPr>
          <w:rFonts w:hAnsi="Arial Unicode MS"/>
        </w:rPr>
        <w:t>’</w:t>
      </w:r>
      <w:r>
        <w:rPr>
          <w:rFonts w:ascii="Times New Roman"/>
        </w:rPr>
        <w:t xml:space="preserve"> clinical diagnosis of furcation involvement were included in this review. Therefore, studies with radiographic measures of FI were excluded as considered less reliable (Ross &amp; Thompson 1978, Bjorn &amp; </w:t>
      </w:r>
      <w:proofErr w:type="spellStart"/>
      <w:r>
        <w:rPr>
          <w:rFonts w:ascii="Times New Roman"/>
        </w:rPr>
        <w:t>Hjort</w:t>
      </w:r>
      <w:proofErr w:type="spellEnd"/>
      <w:r>
        <w:rPr>
          <w:rFonts w:ascii="Times New Roman"/>
        </w:rPr>
        <w:t xml:space="preserve"> 1982).</w:t>
      </w:r>
    </w:p>
    <w:p w:rsidR="002B2028" w:rsidRDefault="002B2028">
      <w:pPr>
        <w:pStyle w:val="Body"/>
        <w:tabs>
          <w:tab w:val="left" w:pos="360"/>
        </w:tabs>
        <w:spacing w:line="360" w:lineRule="auto"/>
        <w:ind w:right="4"/>
        <w:jc w:val="both"/>
        <w:rPr>
          <w:rFonts w:ascii="Times New Roman" w:eastAsia="Times New Roman" w:hAnsi="Times New Roman" w:cs="Times New Roman"/>
        </w:rPr>
      </w:pPr>
    </w:p>
    <w:p w:rsidR="002B2028" w:rsidRDefault="002B2028">
      <w:pPr>
        <w:pStyle w:val="Body"/>
        <w:tabs>
          <w:tab w:val="left" w:pos="360"/>
        </w:tabs>
        <w:spacing w:line="360" w:lineRule="auto"/>
        <w:ind w:right="4"/>
        <w:jc w:val="both"/>
        <w:rPr>
          <w:rFonts w:ascii="Times New Roman" w:eastAsia="Times New Roman" w:hAnsi="Times New Roman" w:cs="Times New Roman"/>
        </w:rPr>
      </w:pPr>
    </w:p>
    <w:p w:rsidR="002B2028" w:rsidRDefault="00A45ADA">
      <w:pPr>
        <w:pStyle w:val="Body"/>
        <w:tabs>
          <w:tab w:val="left" w:pos="360"/>
        </w:tabs>
        <w:spacing w:line="360" w:lineRule="auto"/>
        <w:ind w:right="4"/>
        <w:jc w:val="both"/>
      </w:pPr>
      <w:r>
        <w:rPr>
          <w:rFonts w:ascii="Times New Roman"/>
        </w:rPr>
        <w:t xml:space="preserve">A strength of the data included is that studies with shorter follow-up had consistent results and reported similar OR for tooth loss. This may be due to the fact that, although different operators and possibly different treatment strategies were used, all </w:t>
      </w:r>
      <w:proofErr w:type="spellStart"/>
      <w:r>
        <w:rPr>
          <w:rFonts w:ascii="Times New Roman"/>
        </w:rPr>
        <w:t>analysed</w:t>
      </w:r>
      <w:proofErr w:type="spellEnd"/>
      <w:r>
        <w:rPr>
          <w:rFonts w:ascii="Times New Roman"/>
        </w:rPr>
        <w:t xml:space="preserve"> studies had similar designs, consisting of initial periodontal therapy, surgical therapy when needed (including access flaps, osseous resective surgery, root resection, tunneling or regenerative surgery occasionally) and then supportive periodontal therapy (at regular intervals for most studies, generally every 3-4-6 up to 12 months). Limitations of the data include retrospective nature and lack of detailed data on degree of furcation involvement in most studies.</w:t>
      </w:r>
    </w:p>
    <w:p w:rsidR="002B2028" w:rsidRDefault="002B2028">
      <w:pPr>
        <w:pStyle w:val="Body"/>
        <w:tabs>
          <w:tab w:val="left" w:pos="360"/>
        </w:tabs>
        <w:spacing w:line="360" w:lineRule="auto"/>
        <w:ind w:right="4"/>
        <w:jc w:val="both"/>
        <w:rPr>
          <w:rFonts w:ascii="Times New Roman" w:eastAsia="Times New Roman" w:hAnsi="Times New Roman" w:cs="Times New Roman"/>
        </w:rPr>
      </w:pPr>
    </w:p>
    <w:p w:rsidR="002B2028" w:rsidRDefault="00A45ADA">
      <w:pPr>
        <w:pStyle w:val="Body"/>
        <w:tabs>
          <w:tab w:val="left" w:pos="360"/>
        </w:tabs>
        <w:spacing w:line="360" w:lineRule="auto"/>
        <w:ind w:right="4"/>
        <w:jc w:val="both"/>
      </w:pPr>
      <w:r>
        <w:br/>
      </w:r>
      <w:r>
        <w:rPr>
          <w:rFonts w:ascii="Times New Roman"/>
        </w:rPr>
        <w:t xml:space="preserve">Strengths of this systematic review are a relatively high sample size and the small heterogeneity for most of the meta-analyses. Limitations are the residual heterogeneity for studies with over 15 years follow-up and the possible presence of publication bias, which means that the results of the current review should be interpreted cautiously. In summary, the data </w:t>
      </w:r>
      <w:proofErr w:type="spellStart"/>
      <w:r>
        <w:rPr>
          <w:rFonts w:ascii="Times New Roman"/>
        </w:rPr>
        <w:t>analysed</w:t>
      </w:r>
      <w:proofErr w:type="spellEnd"/>
      <w:r>
        <w:rPr>
          <w:rFonts w:ascii="Times New Roman"/>
        </w:rPr>
        <w:t xml:space="preserve"> in this review confirm that furcation involvement represents a risk of tooth loss. In patients undergoing cause-related periodontal therapy, surgical therapy if needed and supportive periodontal care, the risk of tooth loss is in the region of 1.5-2.7 (1.8-2.4 excluding third molars) up to 15 years in maintenance (only border-line significant for studies up to 10 years). Such risk seems to increase sharply after the 15-</w:t>
      </w:r>
      <w:proofErr w:type="spellStart"/>
      <w:r>
        <w:rPr>
          <w:rFonts w:ascii="Times New Roman"/>
        </w:rPr>
        <w:t>years time</w:t>
      </w:r>
      <w:proofErr w:type="spellEnd"/>
      <w:r>
        <w:rPr>
          <w:rFonts w:ascii="Times New Roman"/>
        </w:rPr>
        <w:t xml:space="preserve">-point, although study heterogeneity </w:t>
      </w:r>
      <w:r>
        <w:rPr>
          <w:rFonts w:ascii="Times New Roman"/>
        </w:rPr>
        <w:lastRenderedPageBreak/>
        <w:t xml:space="preserve">does not allow clear conclusions on this. Great care is recommended in the diagnosis, treatment and supportive care of molars with FI. However, </w:t>
      </w:r>
      <w:r>
        <w:rPr>
          <w:rFonts w:ascii="Times New Roman"/>
          <w:lang w:val="en-GB"/>
        </w:rPr>
        <w:t xml:space="preserve">it must be emphasised that </w:t>
      </w:r>
      <w:r>
        <w:rPr>
          <w:rFonts w:ascii="Times New Roman"/>
        </w:rPr>
        <w:t>this review clearly shows that most molars affected by FI respond well to periodontal treatment and even in the presence of degree III furcations, only 30% of molars were lost in a follow-up period of 5-15 years. Data on patient-related outcomes on survival of molars with FI are desperately needed.  In light also of previous studies showing the cost-effectiveness of maintaining teeth with furcation involvement (</w:t>
      </w:r>
      <w:proofErr w:type="spellStart"/>
      <w:r>
        <w:rPr>
          <w:rFonts w:ascii="Times New Roman"/>
        </w:rPr>
        <w:t>Schwendicke</w:t>
      </w:r>
      <w:proofErr w:type="spellEnd"/>
      <w:r>
        <w:rPr>
          <w:rFonts w:ascii="Times New Roman"/>
        </w:rPr>
        <w:t xml:space="preserve"> et al. 2014) and their good survival rates even when compared with replacement dental implants (</w:t>
      </w:r>
      <w:proofErr w:type="spellStart"/>
      <w:r>
        <w:rPr>
          <w:rFonts w:ascii="Times New Roman"/>
        </w:rPr>
        <w:t>Fugazzotto</w:t>
      </w:r>
      <w:proofErr w:type="spellEnd"/>
      <w:r>
        <w:rPr>
          <w:rFonts w:ascii="Times New Roman"/>
        </w:rPr>
        <w:t xml:space="preserve"> 2001), we recommend that every effort is made to maintain teeth with FI whenever possible. Specific treatment protocols for molars with FI cannot be recommended based on this review owing to a paucity of data and lack of </w:t>
      </w:r>
      <w:proofErr w:type="spellStart"/>
      <w:r>
        <w:rPr>
          <w:rFonts w:ascii="Times New Roman"/>
        </w:rPr>
        <w:t>randomised</w:t>
      </w:r>
      <w:proofErr w:type="spellEnd"/>
      <w:r>
        <w:rPr>
          <w:rFonts w:ascii="Times New Roman"/>
        </w:rPr>
        <w:t xml:space="preserve"> controlled trials testing different treatment modalities according to FI.</w:t>
      </w:r>
    </w:p>
    <w:p w:rsidR="002B2028" w:rsidRDefault="002B2028">
      <w:pPr>
        <w:pStyle w:val="Body"/>
        <w:tabs>
          <w:tab w:val="left" w:pos="360"/>
        </w:tabs>
        <w:spacing w:line="360" w:lineRule="auto"/>
        <w:ind w:left="426" w:right="4"/>
        <w:jc w:val="both"/>
        <w:rPr>
          <w:rFonts w:ascii="Times New Roman" w:eastAsia="Times New Roman" w:hAnsi="Times New Roman" w:cs="Times New Roman"/>
        </w:rPr>
      </w:pPr>
    </w:p>
    <w:p w:rsidR="002B2028" w:rsidRDefault="002B2028">
      <w:pPr>
        <w:pStyle w:val="Body"/>
        <w:tabs>
          <w:tab w:val="left" w:pos="360"/>
        </w:tabs>
        <w:spacing w:line="360" w:lineRule="auto"/>
        <w:ind w:left="426" w:right="4"/>
        <w:jc w:val="both"/>
        <w:rPr>
          <w:rFonts w:ascii="Times New Roman" w:eastAsia="Times New Roman" w:hAnsi="Times New Roman" w:cs="Times New Roman"/>
        </w:rPr>
      </w:pPr>
    </w:p>
    <w:p w:rsidR="002B2028" w:rsidRDefault="00A45ADA">
      <w:pPr>
        <w:pStyle w:val="Body"/>
        <w:spacing w:line="480" w:lineRule="auto"/>
        <w:ind w:left="426"/>
        <w:jc w:val="both"/>
        <w:rPr>
          <w:b/>
          <w:bCs/>
        </w:rPr>
      </w:pPr>
      <w:r>
        <w:rPr>
          <w:rFonts w:ascii="Times New Roman"/>
          <w:b/>
          <w:bCs/>
          <w:lang w:val="de-DE"/>
        </w:rPr>
        <w:t>ACKNOWLEDGMENTS</w:t>
      </w:r>
    </w:p>
    <w:p w:rsidR="002B2028" w:rsidRDefault="00A45ADA">
      <w:pPr>
        <w:pStyle w:val="Body"/>
        <w:tabs>
          <w:tab w:val="left" w:pos="360"/>
        </w:tabs>
        <w:spacing w:line="360" w:lineRule="auto"/>
        <w:ind w:right="4"/>
        <w:jc w:val="both"/>
      </w:pPr>
      <w:r>
        <w:rPr>
          <w:rFonts w:ascii="Times New Roman"/>
        </w:rPr>
        <w:t>This study was undertaken at UCL, which received a proportion of funding from the Department of Health</w:t>
      </w:r>
      <w:r>
        <w:rPr>
          <w:rFonts w:hAnsi="Arial Unicode MS"/>
        </w:rPr>
        <w:t>’</w:t>
      </w:r>
      <w:r>
        <w:rPr>
          <w:rFonts w:ascii="Times New Roman"/>
        </w:rPr>
        <w:t xml:space="preserve">s National Institute of Health Research (NIHR) Biomedical Research </w:t>
      </w:r>
      <w:proofErr w:type="spellStart"/>
      <w:r>
        <w:rPr>
          <w:rFonts w:ascii="Times New Roman"/>
        </w:rPr>
        <w:t>Centres</w:t>
      </w:r>
      <w:proofErr w:type="spellEnd"/>
      <w:r>
        <w:rPr>
          <w:rFonts w:ascii="Times New Roman"/>
        </w:rPr>
        <w:t xml:space="preserve"> funding scheme. The authors declare that they have no conflicts of interest in relation to this paper.</w:t>
      </w:r>
    </w:p>
    <w:p w:rsidR="002B2028" w:rsidRDefault="002B2028">
      <w:pPr>
        <w:pStyle w:val="Body"/>
        <w:tabs>
          <w:tab w:val="left" w:pos="360"/>
        </w:tabs>
        <w:spacing w:line="360" w:lineRule="auto"/>
        <w:ind w:left="426" w:right="4"/>
        <w:jc w:val="both"/>
        <w:rPr>
          <w:rFonts w:ascii="Times New Roman" w:eastAsia="Times New Roman" w:hAnsi="Times New Roman" w:cs="Times New Roman"/>
        </w:rPr>
      </w:pPr>
    </w:p>
    <w:p w:rsidR="002B2028" w:rsidRDefault="002B2028">
      <w:pPr>
        <w:pStyle w:val="Body"/>
        <w:tabs>
          <w:tab w:val="left" w:pos="360"/>
        </w:tabs>
        <w:spacing w:line="360" w:lineRule="auto"/>
        <w:ind w:left="426" w:right="4"/>
        <w:jc w:val="both"/>
        <w:rPr>
          <w:rFonts w:ascii="Times New Roman" w:eastAsia="Times New Roman" w:hAnsi="Times New Roman" w:cs="Times New Roman"/>
        </w:rPr>
      </w:pPr>
    </w:p>
    <w:p w:rsidR="002B2028" w:rsidRDefault="00A45ADA">
      <w:pPr>
        <w:pStyle w:val="Body"/>
        <w:tabs>
          <w:tab w:val="left" w:pos="360"/>
        </w:tabs>
        <w:spacing w:line="360" w:lineRule="auto"/>
        <w:ind w:left="426" w:right="4"/>
        <w:jc w:val="both"/>
        <w:rPr>
          <w:b/>
          <w:bCs/>
        </w:rPr>
      </w:pPr>
      <w:r>
        <w:rPr>
          <w:rFonts w:ascii="Times New Roman"/>
          <w:b/>
          <w:bCs/>
          <w:lang w:val="de-DE"/>
        </w:rPr>
        <w:t>REFERENCES</w:t>
      </w:r>
    </w:p>
    <w:p w:rsidR="002B2028" w:rsidRDefault="00A45ADA">
      <w:pPr>
        <w:pStyle w:val="Body"/>
        <w:ind w:left="720" w:hanging="720"/>
        <w:jc w:val="both"/>
      </w:pPr>
      <w:bookmarkStart w:id="1" w:name="_ENREF_1"/>
      <w:proofErr w:type="spellStart"/>
      <w:r>
        <w:rPr>
          <w:rFonts w:ascii="Times New Roman"/>
        </w:rPr>
        <w:t>Albandar</w:t>
      </w:r>
      <w:proofErr w:type="spellEnd"/>
      <w:r>
        <w:rPr>
          <w:rFonts w:ascii="Times New Roman"/>
        </w:rPr>
        <w:t xml:space="preserve">, J. M., </w:t>
      </w:r>
      <w:proofErr w:type="spellStart"/>
      <w:r>
        <w:rPr>
          <w:rFonts w:ascii="Times New Roman"/>
        </w:rPr>
        <w:t>Brunelle</w:t>
      </w:r>
      <w:proofErr w:type="spellEnd"/>
      <w:r>
        <w:rPr>
          <w:rFonts w:ascii="Times New Roman"/>
        </w:rPr>
        <w:t xml:space="preserve">, J. A. &amp; Kingman, A. (1999) Destructive periodontal disease in adults 30 years of age and older in the United States, 1988-1994. </w:t>
      </w:r>
      <w:r>
        <w:rPr>
          <w:rFonts w:ascii="Times New Roman"/>
          <w:i/>
          <w:iCs/>
        </w:rPr>
        <w:t>Journal of Periodontology</w:t>
      </w:r>
      <w:r>
        <w:rPr>
          <w:rFonts w:ascii="Times New Roman"/>
        </w:rPr>
        <w:t xml:space="preserve"> </w:t>
      </w:r>
      <w:r>
        <w:rPr>
          <w:rFonts w:ascii="Times New Roman"/>
          <w:b/>
          <w:bCs/>
        </w:rPr>
        <w:t>70,</w:t>
      </w:r>
      <w:r>
        <w:rPr>
          <w:rFonts w:ascii="Times New Roman"/>
        </w:rPr>
        <w:t xml:space="preserve"> 13-29. </w:t>
      </w:r>
      <w:bookmarkEnd w:id="1"/>
    </w:p>
    <w:p w:rsidR="002B2028" w:rsidRDefault="00A45ADA">
      <w:pPr>
        <w:pStyle w:val="Body"/>
        <w:ind w:left="720" w:hanging="720"/>
        <w:jc w:val="both"/>
      </w:pPr>
      <w:bookmarkStart w:id="2" w:name="_ENREF_2"/>
      <w:r>
        <w:rPr>
          <w:rFonts w:ascii="Times New Roman"/>
        </w:rPr>
        <w:t xml:space="preserve">Bjorn, A. L. &amp; </w:t>
      </w:r>
      <w:proofErr w:type="spellStart"/>
      <w:r>
        <w:rPr>
          <w:rFonts w:ascii="Times New Roman"/>
        </w:rPr>
        <w:t>Hjort</w:t>
      </w:r>
      <w:proofErr w:type="spellEnd"/>
      <w:r>
        <w:rPr>
          <w:rFonts w:ascii="Times New Roman"/>
        </w:rPr>
        <w:t xml:space="preserve">, P. (1982) Bone loss of furcated mandibular molars. A longitudinal study. </w:t>
      </w:r>
      <w:r>
        <w:rPr>
          <w:rFonts w:ascii="Times New Roman"/>
          <w:i/>
          <w:iCs/>
        </w:rPr>
        <w:t>Journal of Clinical Periodontology</w:t>
      </w:r>
      <w:r>
        <w:rPr>
          <w:rFonts w:ascii="Times New Roman"/>
        </w:rPr>
        <w:t xml:space="preserve"> </w:t>
      </w:r>
      <w:r>
        <w:rPr>
          <w:rFonts w:ascii="Times New Roman"/>
          <w:b/>
          <w:bCs/>
        </w:rPr>
        <w:t>9,</w:t>
      </w:r>
      <w:r>
        <w:rPr>
          <w:rFonts w:ascii="Times New Roman"/>
        </w:rPr>
        <w:t xml:space="preserve"> 402-408.</w:t>
      </w:r>
      <w:bookmarkEnd w:id="2"/>
    </w:p>
    <w:p w:rsidR="002B2028" w:rsidRDefault="00A45ADA">
      <w:pPr>
        <w:pStyle w:val="Body"/>
        <w:ind w:left="720" w:hanging="720"/>
        <w:jc w:val="both"/>
      </w:pPr>
      <w:bookmarkStart w:id="3" w:name="_ENREF_3"/>
      <w:r>
        <w:rPr>
          <w:rFonts w:ascii="Times New Roman"/>
        </w:rPr>
        <w:t xml:space="preserve">Buhler, H. (1988) Evaluation of root-resected teeth. Results after 10 years. </w:t>
      </w:r>
      <w:r>
        <w:rPr>
          <w:rFonts w:ascii="Times New Roman"/>
          <w:i/>
          <w:iCs/>
        </w:rPr>
        <w:t>Journal of Periodontology</w:t>
      </w:r>
      <w:r>
        <w:rPr>
          <w:rFonts w:ascii="Times New Roman"/>
        </w:rPr>
        <w:t xml:space="preserve"> </w:t>
      </w:r>
      <w:r>
        <w:rPr>
          <w:rFonts w:ascii="Times New Roman"/>
          <w:b/>
          <w:bCs/>
        </w:rPr>
        <w:t>59,</w:t>
      </w:r>
      <w:r>
        <w:rPr>
          <w:rFonts w:ascii="Times New Roman"/>
        </w:rPr>
        <w:t xml:space="preserve"> 805-810. </w:t>
      </w:r>
      <w:bookmarkEnd w:id="3"/>
    </w:p>
    <w:p w:rsidR="002B2028" w:rsidRDefault="00A45ADA">
      <w:pPr>
        <w:pStyle w:val="Body"/>
        <w:ind w:left="720" w:hanging="720"/>
        <w:jc w:val="both"/>
      </w:pPr>
      <w:bookmarkStart w:id="4" w:name="_ENREF_4"/>
      <w:proofErr w:type="spellStart"/>
      <w:r>
        <w:rPr>
          <w:rFonts w:ascii="Times New Roman"/>
        </w:rPr>
        <w:t>Carnevale</w:t>
      </w:r>
      <w:proofErr w:type="spellEnd"/>
      <w:r>
        <w:rPr>
          <w:rFonts w:ascii="Times New Roman"/>
        </w:rPr>
        <w:t xml:space="preserve">, G., </w:t>
      </w:r>
      <w:proofErr w:type="spellStart"/>
      <w:r>
        <w:rPr>
          <w:rFonts w:ascii="Times New Roman"/>
        </w:rPr>
        <w:t>Pontoriero</w:t>
      </w:r>
      <w:proofErr w:type="spellEnd"/>
      <w:r>
        <w:rPr>
          <w:rFonts w:ascii="Times New Roman"/>
        </w:rPr>
        <w:t xml:space="preserve">, R. &amp; di </w:t>
      </w:r>
      <w:proofErr w:type="spellStart"/>
      <w:r>
        <w:rPr>
          <w:rFonts w:ascii="Times New Roman"/>
        </w:rPr>
        <w:t>Febo</w:t>
      </w:r>
      <w:proofErr w:type="spellEnd"/>
      <w:r>
        <w:rPr>
          <w:rFonts w:ascii="Times New Roman"/>
        </w:rPr>
        <w:t xml:space="preserve">, G. (1998) Long-term effects of root-resective therapy in furcation-involved molars. A 10-year longitudinal study. </w:t>
      </w:r>
      <w:r>
        <w:rPr>
          <w:rFonts w:ascii="Times New Roman"/>
          <w:i/>
          <w:iCs/>
        </w:rPr>
        <w:t>Journal of Clinical Periodontology</w:t>
      </w:r>
      <w:r>
        <w:rPr>
          <w:rFonts w:ascii="Times New Roman"/>
        </w:rPr>
        <w:t xml:space="preserve"> </w:t>
      </w:r>
      <w:r>
        <w:rPr>
          <w:rFonts w:ascii="Times New Roman"/>
          <w:b/>
          <w:bCs/>
        </w:rPr>
        <w:t>25,</w:t>
      </w:r>
      <w:r>
        <w:rPr>
          <w:rFonts w:ascii="Times New Roman"/>
        </w:rPr>
        <w:t xml:space="preserve"> 209-214.</w:t>
      </w:r>
      <w:bookmarkEnd w:id="4"/>
    </w:p>
    <w:p w:rsidR="002B2028" w:rsidRDefault="00A45ADA">
      <w:pPr>
        <w:pStyle w:val="Body"/>
        <w:ind w:left="720" w:hanging="720"/>
        <w:jc w:val="both"/>
      </w:pPr>
      <w:bookmarkStart w:id="5" w:name="_ENREF_5"/>
      <w:r>
        <w:rPr>
          <w:rFonts w:ascii="Times New Roman"/>
          <w:lang w:val="it-IT"/>
        </w:rPr>
        <w:t xml:space="preserve">Checchi, L., Montevecchi, M., Gatto, M. R. &amp; Trombelli, L. (2002) Retrospective study of tooth loss in 92 treated periodontal patients. </w:t>
      </w:r>
      <w:r>
        <w:rPr>
          <w:rFonts w:ascii="Times New Roman"/>
          <w:i/>
          <w:iCs/>
        </w:rPr>
        <w:t>Journal of Clinical Periodontology</w:t>
      </w:r>
      <w:r>
        <w:rPr>
          <w:rFonts w:ascii="Times New Roman"/>
        </w:rPr>
        <w:t xml:space="preserve"> </w:t>
      </w:r>
      <w:r>
        <w:rPr>
          <w:rFonts w:ascii="Times New Roman"/>
          <w:b/>
          <w:bCs/>
        </w:rPr>
        <w:t>29,</w:t>
      </w:r>
      <w:r>
        <w:rPr>
          <w:rFonts w:ascii="Times New Roman"/>
        </w:rPr>
        <w:t xml:space="preserve"> 651-656. </w:t>
      </w:r>
      <w:bookmarkEnd w:id="5"/>
    </w:p>
    <w:p w:rsidR="002B2028" w:rsidRDefault="00A45ADA">
      <w:pPr>
        <w:pStyle w:val="Body"/>
        <w:ind w:left="720" w:hanging="720"/>
        <w:jc w:val="both"/>
      </w:pPr>
      <w:bookmarkStart w:id="6" w:name="_ENREF_6"/>
      <w:proofErr w:type="spellStart"/>
      <w:r>
        <w:rPr>
          <w:rFonts w:ascii="Times New Roman"/>
        </w:rPr>
        <w:t>Dannewitz</w:t>
      </w:r>
      <w:proofErr w:type="spellEnd"/>
      <w:r>
        <w:rPr>
          <w:rFonts w:ascii="Times New Roman"/>
        </w:rPr>
        <w:t xml:space="preserve">, B., Krieger, J. K., </w:t>
      </w:r>
      <w:proofErr w:type="spellStart"/>
      <w:r>
        <w:rPr>
          <w:rFonts w:ascii="Times New Roman"/>
        </w:rPr>
        <w:t>Husing</w:t>
      </w:r>
      <w:proofErr w:type="spellEnd"/>
      <w:r>
        <w:rPr>
          <w:rFonts w:ascii="Times New Roman"/>
        </w:rPr>
        <w:t xml:space="preserve">, J. &amp; </w:t>
      </w:r>
      <w:proofErr w:type="spellStart"/>
      <w:r>
        <w:rPr>
          <w:rFonts w:ascii="Times New Roman"/>
        </w:rPr>
        <w:t>Eickholz</w:t>
      </w:r>
      <w:proofErr w:type="spellEnd"/>
      <w:r>
        <w:rPr>
          <w:rFonts w:ascii="Times New Roman"/>
        </w:rPr>
        <w:t xml:space="preserve">, P. (2006) Loss of molars in </w:t>
      </w:r>
      <w:proofErr w:type="spellStart"/>
      <w:r>
        <w:rPr>
          <w:rFonts w:ascii="Times New Roman"/>
        </w:rPr>
        <w:t>periodontally</w:t>
      </w:r>
      <w:proofErr w:type="spellEnd"/>
      <w:r>
        <w:rPr>
          <w:rFonts w:ascii="Times New Roman"/>
        </w:rPr>
        <w:t xml:space="preserve"> treated patients: a retrospective analysis five years or more after active periodontal treatment. </w:t>
      </w:r>
      <w:r>
        <w:rPr>
          <w:rFonts w:ascii="Times New Roman"/>
          <w:i/>
          <w:iCs/>
        </w:rPr>
        <w:t>Journal of Clinical Periodontology</w:t>
      </w:r>
      <w:r>
        <w:rPr>
          <w:rFonts w:ascii="Times New Roman"/>
        </w:rPr>
        <w:t xml:space="preserve"> </w:t>
      </w:r>
      <w:r>
        <w:rPr>
          <w:rFonts w:ascii="Times New Roman"/>
          <w:b/>
          <w:bCs/>
        </w:rPr>
        <w:t>33,</w:t>
      </w:r>
      <w:r>
        <w:rPr>
          <w:rFonts w:ascii="Times New Roman"/>
        </w:rPr>
        <w:t xml:space="preserve"> 53-61. </w:t>
      </w:r>
      <w:bookmarkStart w:id="7" w:name="_ENREF_7"/>
      <w:bookmarkEnd w:id="6"/>
    </w:p>
    <w:p w:rsidR="002B2028" w:rsidRDefault="00A45ADA">
      <w:pPr>
        <w:pStyle w:val="Body"/>
        <w:ind w:left="720" w:hanging="720"/>
        <w:jc w:val="both"/>
      </w:pPr>
      <w:proofErr w:type="spellStart"/>
      <w:r>
        <w:rPr>
          <w:rFonts w:ascii="Times New Roman"/>
        </w:rPr>
        <w:lastRenderedPageBreak/>
        <w:t>Eickholz</w:t>
      </w:r>
      <w:proofErr w:type="spellEnd"/>
      <w:r>
        <w:rPr>
          <w:rFonts w:ascii="Times New Roman"/>
        </w:rPr>
        <w:t xml:space="preserve">, P. &amp; </w:t>
      </w:r>
      <w:proofErr w:type="spellStart"/>
      <w:r>
        <w:rPr>
          <w:rFonts w:ascii="Times New Roman"/>
        </w:rPr>
        <w:t>Hausmann</w:t>
      </w:r>
      <w:proofErr w:type="spellEnd"/>
      <w:r>
        <w:rPr>
          <w:rFonts w:ascii="Times New Roman"/>
        </w:rPr>
        <w:t xml:space="preserve">, E. (2002) Evidence for healing of periodontal defects 5 years after conventional and regenerative therapy: digital subtraction and bone level measurements. </w:t>
      </w:r>
      <w:r>
        <w:rPr>
          <w:rFonts w:ascii="Times New Roman"/>
          <w:i/>
          <w:iCs/>
        </w:rPr>
        <w:t>Journal of Clinical Periodontology</w:t>
      </w:r>
      <w:r>
        <w:rPr>
          <w:rFonts w:ascii="Times New Roman"/>
        </w:rPr>
        <w:t xml:space="preserve"> </w:t>
      </w:r>
      <w:r>
        <w:rPr>
          <w:rFonts w:ascii="Times New Roman"/>
          <w:b/>
          <w:bCs/>
        </w:rPr>
        <w:t>29,</w:t>
      </w:r>
      <w:r>
        <w:rPr>
          <w:rFonts w:ascii="Times New Roman"/>
        </w:rPr>
        <w:t xml:space="preserve"> 922-928. </w:t>
      </w:r>
      <w:bookmarkStart w:id="8" w:name="_ENREF_8"/>
      <w:bookmarkEnd w:id="7"/>
    </w:p>
    <w:p w:rsidR="002B2028" w:rsidRDefault="00A45ADA">
      <w:pPr>
        <w:pStyle w:val="Body"/>
        <w:ind w:left="720" w:hanging="720"/>
        <w:jc w:val="both"/>
      </w:pPr>
      <w:r>
        <w:rPr>
          <w:rFonts w:ascii="Times New Roman"/>
        </w:rPr>
        <w:t xml:space="preserve">Fleischer, H. C., </w:t>
      </w:r>
      <w:proofErr w:type="spellStart"/>
      <w:r>
        <w:rPr>
          <w:rFonts w:ascii="Times New Roman"/>
        </w:rPr>
        <w:t>Mellonig</w:t>
      </w:r>
      <w:proofErr w:type="spellEnd"/>
      <w:r>
        <w:rPr>
          <w:rFonts w:ascii="Times New Roman"/>
        </w:rPr>
        <w:t xml:space="preserve">, J. T., Brayer, W. K., Gray, J. L. &amp; Barnett, J. D. (1989) Scaling and root </w:t>
      </w:r>
      <w:proofErr w:type="spellStart"/>
      <w:r>
        <w:rPr>
          <w:rFonts w:ascii="Times New Roman"/>
        </w:rPr>
        <w:t>planing</w:t>
      </w:r>
      <w:proofErr w:type="spellEnd"/>
      <w:r>
        <w:rPr>
          <w:rFonts w:ascii="Times New Roman"/>
        </w:rPr>
        <w:t xml:space="preserve"> efficacy in </w:t>
      </w:r>
      <w:proofErr w:type="spellStart"/>
      <w:r>
        <w:rPr>
          <w:rFonts w:ascii="Times New Roman"/>
        </w:rPr>
        <w:t>multirooted</w:t>
      </w:r>
      <w:proofErr w:type="spellEnd"/>
      <w:r>
        <w:rPr>
          <w:rFonts w:ascii="Times New Roman"/>
        </w:rPr>
        <w:t xml:space="preserve"> teeth. </w:t>
      </w:r>
      <w:r>
        <w:rPr>
          <w:rFonts w:ascii="Times New Roman"/>
          <w:i/>
          <w:iCs/>
        </w:rPr>
        <w:t>Journal of Periodontology</w:t>
      </w:r>
      <w:r>
        <w:rPr>
          <w:rFonts w:ascii="Times New Roman"/>
        </w:rPr>
        <w:t xml:space="preserve"> </w:t>
      </w:r>
      <w:r>
        <w:rPr>
          <w:rFonts w:ascii="Times New Roman"/>
          <w:b/>
          <w:bCs/>
        </w:rPr>
        <w:t>60,</w:t>
      </w:r>
      <w:r>
        <w:rPr>
          <w:rFonts w:ascii="Times New Roman"/>
        </w:rPr>
        <w:t xml:space="preserve"> 402-409. </w:t>
      </w:r>
      <w:bookmarkEnd w:id="8"/>
    </w:p>
    <w:p w:rsidR="002B2028" w:rsidRDefault="00A45ADA">
      <w:pPr>
        <w:pStyle w:val="Body"/>
        <w:ind w:left="720" w:hanging="720"/>
        <w:jc w:val="both"/>
      </w:pPr>
      <w:bookmarkStart w:id="9" w:name="_ENREF_9"/>
      <w:proofErr w:type="spellStart"/>
      <w:r>
        <w:rPr>
          <w:rFonts w:ascii="Times New Roman"/>
        </w:rPr>
        <w:t>Fugazzotto</w:t>
      </w:r>
      <w:proofErr w:type="spellEnd"/>
      <w:r>
        <w:rPr>
          <w:rFonts w:ascii="Times New Roman"/>
        </w:rPr>
        <w:t xml:space="preserve">, P. A. (2001) A comparison of the success of root resected molars and molar position implants in function in a private practice: results of up to 15-plus years. </w:t>
      </w:r>
      <w:r>
        <w:rPr>
          <w:rFonts w:ascii="Times New Roman"/>
          <w:i/>
          <w:iCs/>
        </w:rPr>
        <w:t>Journal of Periodontology</w:t>
      </w:r>
      <w:r>
        <w:rPr>
          <w:rFonts w:ascii="Times New Roman"/>
        </w:rPr>
        <w:t xml:space="preserve"> </w:t>
      </w:r>
      <w:r>
        <w:rPr>
          <w:rFonts w:ascii="Times New Roman"/>
          <w:b/>
          <w:bCs/>
        </w:rPr>
        <w:t>72,</w:t>
      </w:r>
      <w:r>
        <w:rPr>
          <w:rFonts w:ascii="Times New Roman"/>
        </w:rPr>
        <w:t xml:space="preserve"> 1113-1123. </w:t>
      </w:r>
      <w:bookmarkEnd w:id="9"/>
    </w:p>
    <w:p w:rsidR="002B2028" w:rsidRDefault="00A45ADA">
      <w:pPr>
        <w:pStyle w:val="Body"/>
        <w:ind w:left="720" w:hanging="720"/>
        <w:jc w:val="both"/>
      </w:pPr>
      <w:bookmarkStart w:id="10" w:name="_ENREF_10"/>
      <w:r>
        <w:rPr>
          <w:rFonts w:ascii="Times New Roman"/>
        </w:rPr>
        <w:t xml:space="preserve">Goldman, M. J., Ross, I. F. &amp; </w:t>
      </w:r>
      <w:proofErr w:type="spellStart"/>
      <w:r>
        <w:rPr>
          <w:rFonts w:ascii="Times New Roman"/>
        </w:rPr>
        <w:t>Goteiner</w:t>
      </w:r>
      <w:proofErr w:type="spellEnd"/>
      <w:r>
        <w:rPr>
          <w:rFonts w:ascii="Times New Roman"/>
        </w:rPr>
        <w:t xml:space="preserve">, D. (1986) Effect of periodontal therapy on patients maintained for 15 years or longer. A retrospective study. </w:t>
      </w:r>
      <w:r>
        <w:rPr>
          <w:rFonts w:ascii="Times New Roman"/>
          <w:i/>
          <w:iCs/>
        </w:rPr>
        <w:t>Journal of Periodontology</w:t>
      </w:r>
      <w:r>
        <w:rPr>
          <w:rFonts w:ascii="Times New Roman"/>
        </w:rPr>
        <w:t xml:space="preserve"> </w:t>
      </w:r>
      <w:r>
        <w:rPr>
          <w:rFonts w:ascii="Times New Roman"/>
          <w:b/>
          <w:bCs/>
        </w:rPr>
        <w:t>57,</w:t>
      </w:r>
      <w:r>
        <w:rPr>
          <w:rFonts w:ascii="Times New Roman"/>
        </w:rPr>
        <w:t xml:space="preserve"> 347-353. </w:t>
      </w:r>
      <w:bookmarkEnd w:id="10"/>
    </w:p>
    <w:p w:rsidR="002B2028" w:rsidRDefault="00A45ADA">
      <w:pPr>
        <w:pStyle w:val="Body"/>
        <w:ind w:left="720" w:hanging="720"/>
        <w:jc w:val="both"/>
      </w:pPr>
      <w:bookmarkStart w:id="11" w:name="_ENREF_11"/>
      <w:r>
        <w:rPr>
          <w:rFonts w:ascii="Times New Roman"/>
        </w:rPr>
        <w:t xml:space="preserve">Goodson, J. M. (1994) Antimicrobial strategies for treatment of periodontal diseases. </w:t>
      </w:r>
      <w:r>
        <w:rPr>
          <w:rFonts w:ascii="Times New Roman"/>
          <w:i/>
          <w:iCs/>
        </w:rPr>
        <w:t>Periodontology 2000</w:t>
      </w:r>
      <w:r>
        <w:rPr>
          <w:rFonts w:ascii="Times New Roman"/>
        </w:rPr>
        <w:t xml:space="preserve"> </w:t>
      </w:r>
      <w:r>
        <w:rPr>
          <w:rFonts w:ascii="Times New Roman"/>
          <w:b/>
          <w:bCs/>
        </w:rPr>
        <w:t>5,</w:t>
      </w:r>
      <w:r>
        <w:rPr>
          <w:rFonts w:ascii="Times New Roman"/>
        </w:rPr>
        <w:t xml:space="preserve"> 142-168.</w:t>
      </w:r>
      <w:bookmarkEnd w:id="11"/>
    </w:p>
    <w:p w:rsidR="002B2028" w:rsidRDefault="00A45ADA">
      <w:pPr>
        <w:pStyle w:val="Body"/>
        <w:ind w:left="720" w:hanging="720"/>
        <w:jc w:val="both"/>
      </w:pPr>
      <w:bookmarkStart w:id="12" w:name="_ENREF_12"/>
      <w:proofErr w:type="spellStart"/>
      <w:r>
        <w:rPr>
          <w:rFonts w:ascii="Times New Roman"/>
        </w:rPr>
        <w:t>Graetz</w:t>
      </w:r>
      <w:proofErr w:type="spellEnd"/>
      <w:r>
        <w:rPr>
          <w:rFonts w:ascii="Times New Roman"/>
        </w:rPr>
        <w:t xml:space="preserve">, C., </w:t>
      </w:r>
      <w:proofErr w:type="spellStart"/>
      <w:r>
        <w:rPr>
          <w:rFonts w:ascii="Times New Roman"/>
        </w:rPr>
        <w:t>Schutzhold</w:t>
      </w:r>
      <w:proofErr w:type="spellEnd"/>
      <w:r>
        <w:rPr>
          <w:rFonts w:ascii="Times New Roman"/>
        </w:rPr>
        <w:t xml:space="preserve">, S., </w:t>
      </w:r>
      <w:proofErr w:type="spellStart"/>
      <w:r>
        <w:rPr>
          <w:rFonts w:ascii="Times New Roman"/>
        </w:rPr>
        <w:t>Plaumann</w:t>
      </w:r>
      <w:proofErr w:type="spellEnd"/>
      <w:r>
        <w:rPr>
          <w:rFonts w:ascii="Times New Roman"/>
        </w:rPr>
        <w:t xml:space="preserve">, A., </w:t>
      </w:r>
      <w:proofErr w:type="spellStart"/>
      <w:r>
        <w:rPr>
          <w:rFonts w:ascii="Times New Roman"/>
        </w:rPr>
        <w:t>Kahl</w:t>
      </w:r>
      <w:proofErr w:type="spellEnd"/>
      <w:r>
        <w:rPr>
          <w:rFonts w:ascii="Times New Roman"/>
        </w:rPr>
        <w:t xml:space="preserve">, M., Springer, C., </w:t>
      </w:r>
      <w:proofErr w:type="spellStart"/>
      <w:r>
        <w:rPr>
          <w:rFonts w:ascii="Times New Roman"/>
        </w:rPr>
        <w:t>Salzer</w:t>
      </w:r>
      <w:proofErr w:type="spellEnd"/>
      <w:r>
        <w:rPr>
          <w:rFonts w:ascii="Times New Roman"/>
        </w:rPr>
        <w:t xml:space="preserve">, S., </w:t>
      </w:r>
      <w:proofErr w:type="spellStart"/>
      <w:r>
        <w:rPr>
          <w:rFonts w:ascii="Times New Roman"/>
        </w:rPr>
        <w:t>Holtfreter</w:t>
      </w:r>
      <w:proofErr w:type="spellEnd"/>
      <w:r>
        <w:rPr>
          <w:rFonts w:ascii="Times New Roman"/>
        </w:rPr>
        <w:t xml:space="preserve">, B., Kocher, T., </w:t>
      </w:r>
      <w:proofErr w:type="spellStart"/>
      <w:r>
        <w:rPr>
          <w:rFonts w:ascii="Times New Roman"/>
        </w:rPr>
        <w:t>Dorfer</w:t>
      </w:r>
      <w:proofErr w:type="spellEnd"/>
      <w:r>
        <w:rPr>
          <w:rFonts w:ascii="Times New Roman"/>
        </w:rPr>
        <w:t xml:space="preserve">, C.E. &amp; </w:t>
      </w:r>
      <w:proofErr w:type="spellStart"/>
      <w:r>
        <w:rPr>
          <w:rFonts w:ascii="Times New Roman"/>
        </w:rPr>
        <w:t>Schwendicke</w:t>
      </w:r>
      <w:proofErr w:type="spellEnd"/>
      <w:r>
        <w:rPr>
          <w:rFonts w:ascii="Times New Roman"/>
        </w:rPr>
        <w:t xml:space="preserve">, F. (2015) Prognostic factors for the loss of molars- an 18-years retrospective cohort study. </w:t>
      </w:r>
      <w:r>
        <w:rPr>
          <w:rFonts w:ascii="Times New Roman"/>
          <w:i/>
          <w:iCs/>
        </w:rPr>
        <w:t xml:space="preserve">Journal of Clinical Periodontology </w:t>
      </w:r>
      <w:r>
        <w:rPr>
          <w:rFonts w:ascii="Times New Roman"/>
        </w:rPr>
        <w:t>(under review).</w:t>
      </w:r>
    </w:p>
    <w:p w:rsidR="002B2028" w:rsidRDefault="00A45ADA">
      <w:pPr>
        <w:pStyle w:val="Body"/>
        <w:ind w:left="720" w:hanging="720"/>
        <w:jc w:val="both"/>
      </w:pPr>
      <w:proofErr w:type="spellStart"/>
      <w:r>
        <w:rPr>
          <w:rFonts w:ascii="Times New Roman"/>
        </w:rPr>
        <w:t>Graziani</w:t>
      </w:r>
      <w:proofErr w:type="spellEnd"/>
      <w:r>
        <w:rPr>
          <w:rFonts w:ascii="Times New Roman"/>
        </w:rPr>
        <w:t xml:space="preserve">, F., </w:t>
      </w:r>
      <w:proofErr w:type="spellStart"/>
      <w:r>
        <w:rPr>
          <w:rFonts w:ascii="Times New Roman"/>
        </w:rPr>
        <w:t>Gennai</w:t>
      </w:r>
      <w:proofErr w:type="spellEnd"/>
      <w:r>
        <w:rPr>
          <w:rFonts w:ascii="Times New Roman"/>
        </w:rPr>
        <w:t xml:space="preserve">, S., </w:t>
      </w:r>
      <w:proofErr w:type="spellStart"/>
      <w:r>
        <w:rPr>
          <w:rFonts w:ascii="Times New Roman"/>
        </w:rPr>
        <w:t>Karapetsa</w:t>
      </w:r>
      <w:proofErr w:type="spellEnd"/>
      <w:r>
        <w:rPr>
          <w:rFonts w:ascii="Times New Roman"/>
        </w:rPr>
        <w:t xml:space="preserve">, D., </w:t>
      </w:r>
      <w:proofErr w:type="spellStart"/>
      <w:r>
        <w:rPr>
          <w:rFonts w:ascii="Times New Roman"/>
        </w:rPr>
        <w:t>Rosini</w:t>
      </w:r>
      <w:proofErr w:type="spellEnd"/>
      <w:r>
        <w:rPr>
          <w:rFonts w:ascii="Times New Roman"/>
        </w:rPr>
        <w:t xml:space="preserve">, S., </w:t>
      </w:r>
      <w:proofErr w:type="spellStart"/>
      <w:r>
        <w:rPr>
          <w:rFonts w:ascii="Times New Roman"/>
        </w:rPr>
        <w:t>Filice</w:t>
      </w:r>
      <w:proofErr w:type="spellEnd"/>
      <w:r>
        <w:rPr>
          <w:rFonts w:ascii="Times New Roman"/>
        </w:rPr>
        <w:t xml:space="preserve">, N., Gabriele, M. &amp; </w:t>
      </w:r>
      <w:proofErr w:type="spellStart"/>
      <w:r>
        <w:rPr>
          <w:rFonts w:ascii="Times New Roman"/>
        </w:rPr>
        <w:t>Tonetti</w:t>
      </w:r>
      <w:proofErr w:type="spellEnd"/>
      <w:r>
        <w:rPr>
          <w:rFonts w:ascii="Times New Roman"/>
        </w:rPr>
        <w:t xml:space="preserve">, M. (2015) Clinical performance of access flap in the treatment of class II furcation defects. A systematic review and meta-analysis of randomized clinical trials. </w:t>
      </w:r>
      <w:r>
        <w:rPr>
          <w:rFonts w:ascii="Times New Roman"/>
          <w:i/>
          <w:iCs/>
        </w:rPr>
        <w:t>Journal of Clinical Periodontology</w:t>
      </w:r>
      <w:r>
        <w:rPr>
          <w:rFonts w:ascii="Times New Roman"/>
        </w:rPr>
        <w:t xml:space="preserve"> </w:t>
      </w:r>
      <w:r>
        <w:rPr>
          <w:rFonts w:ascii="Times New Roman"/>
          <w:b/>
          <w:bCs/>
        </w:rPr>
        <w:t>42,</w:t>
      </w:r>
      <w:r>
        <w:rPr>
          <w:rFonts w:ascii="Times New Roman"/>
        </w:rPr>
        <w:t xml:space="preserve"> 169-181. </w:t>
      </w:r>
      <w:bookmarkEnd w:id="12"/>
    </w:p>
    <w:p w:rsidR="002B2028" w:rsidRDefault="00A45ADA">
      <w:pPr>
        <w:pStyle w:val="Body"/>
        <w:ind w:left="720" w:hanging="720"/>
        <w:jc w:val="both"/>
      </w:pPr>
      <w:bookmarkStart w:id="13" w:name="_ENREF_13"/>
      <w:proofErr w:type="spellStart"/>
      <w:r>
        <w:rPr>
          <w:rFonts w:ascii="Times New Roman"/>
        </w:rPr>
        <w:t>Hamp</w:t>
      </w:r>
      <w:proofErr w:type="spellEnd"/>
      <w:r>
        <w:rPr>
          <w:rFonts w:ascii="Times New Roman"/>
        </w:rPr>
        <w:t xml:space="preserve">, S. E., Nyman, S. &amp; </w:t>
      </w:r>
      <w:proofErr w:type="spellStart"/>
      <w:r>
        <w:rPr>
          <w:rFonts w:ascii="Times New Roman"/>
        </w:rPr>
        <w:t>Lindhe</w:t>
      </w:r>
      <w:proofErr w:type="spellEnd"/>
      <w:r>
        <w:rPr>
          <w:rFonts w:ascii="Times New Roman"/>
        </w:rPr>
        <w:t xml:space="preserve">, J. (1975) </w:t>
      </w:r>
      <w:proofErr w:type="gramStart"/>
      <w:r>
        <w:rPr>
          <w:rFonts w:ascii="Times New Roman"/>
        </w:rPr>
        <w:t>Periodontal</w:t>
      </w:r>
      <w:proofErr w:type="gramEnd"/>
      <w:r>
        <w:rPr>
          <w:rFonts w:ascii="Times New Roman"/>
        </w:rPr>
        <w:t xml:space="preserve"> treatment of </w:t>
      </w:r>
      <w:proofErr w:type="spellStart"/>
      <w:r>
        <w:rPr>
          <w:rFonts w:ascii="Times New Roman"/>
        </w:rPr>
        <w:t>multirooted</w:t>
      </w:r>
      <w:proofErr w:type="spellEnd"/>
      <w:r>
        <w:rPr>
          <w:rFonts w:ascii="Times New Roman"/>
        </w:rPr>
        <w:t xml:space="preserve"> teeth. Results after 5 years. </w:t>
      </w:r>
      <w:r>
        <w:rPr>
          <w:rFonts w:ascii="Times New Roman"/>
          <w:i/>
          <w:iCs/>
        </w:rPr>
        <w:t>Journal of Clinical Periodontology</w:t>
      </w:r>
      <w:r>
        <w:rPr>
          <w:rFonts w:ascii="Times New Roman"/>
        </w:rPr>
        <w:t xml:space="preserve"> </w:t>
      </w:r>
      <w:r>
        <w:rPr>
          <w:rFonts w:ascii="Times New Roman"/>
          <w:b/>
          <w:bCs/>
        </w:rPr>
        <w:t>2,</w:t>
      </w:r>
      <w:r>
        <w:rPr>
          <w:rFonts w:ascii="Times New Roman"/>
        </w:rPr>
        <w:t xml:space="preserve"> 126-135.</w:t>
      </w:r>
      <w:bookmarkEnd w:id="13"/>
    </w:p>
    <w:p w:rsidR="002B2028" w:rsidRDefault="00A45ADA">
      <w:pPr>
        <w:pStyle w:val="Body"/>
        <w:ind w:left="720" w:hanging="720"/>
        <w:jc w:val="both"/>
      </w:pPr>
      <w:bookmarkStart w:id="14" w:name="_ENREF_14"/>
      <w:r>
        <w:rPr>
          <w:rFonts w:ascii="Times New Roman"/>
        </w:rPr>
        <w:t xml:space="preserve">Haney, J. M., </w:t>
      </w:r>
      <w:proofErr w:type="spellStart"/>
      <w:r>
        <w:rPr>
          <w:rFonts w:ascii="Times New Roman"/>
        </w:rPr>
        <w:t>Leknes</w:t>
      </w:r>
      <w:proofErr w:type="spellEnd"/>
      <w:r>
        <w:rPr>
          <w:rFonts w:ascii="Times New Roman"/>
        </w:rPr>
        <w:t xml:space="preserve">, K. N. &amp; </w:t>
      </w:r>
      <w:proofErr w:type="spellStart"/>
      <w:r>
        <w:rPr>
          <w:rFonts w:ascii="Times New Roman"/>
        </w:rPr>
        <w:t>Wikesjo</w:t>
      </w:r>
      <w:proofErr w:type="spellEnd"/>
      <w:r>
        <w:rPr>
          <w:rFonts w:ascii="Times New Roman"/>
        </w:rPr>
        <w:t xml:space="preserve">, U. M. (1997) Recurrence of mandibular molar furcation defects following citric acid root treatment and </w:t>
      </w:r>
      <w:proofErr w:type="spellStart"/>
      <w:r>
        <w:rPr>
          <w:rFonts w:ascii="Times New Roman"/>
        </w:rPr>
        <w:t>coronally</w:t>
      </w:r>
      <w:proofErr w:type="spellEnd"/>
      <w:r>
        <w:rPr>
          <w:rFonts w:ascii="Times New Roman"/>
        </w:rPr>
        <w:t xml:space="preserve"> advanced flap procedures. </w:t>
      </w:r>
      <w:r>
        <w:rPr>
          <w:rFonts w:ascii="Times New Roman"/>
          <w:i/>
          <w:iCs/>
        </w:rPr>
        <w:t>International Journal of Periodontics and Restorative Dentistry</w:t>
      </w:r>
      <w:r>
        <w:rPr>
          <w:rFonts w:ascii="Times New Roman"/>
        </w:rPr>
        <w:t xml:space="preserve"> </w:t>
      </w:r>
      <w:r>
        <w:rPr>
          <w:rFonts w:ascii="Times New Roman"/>
          <w:b/>
          <w:bCs/>
        </w:rPr>
        <w:t>17,</w:t>
      </w:r>
      <w:r>
        <w:rPr>
          <w:rFonts w:ascii="Times New Roman"/>
        </w:rPr>
        <w:t xml:space="preserve"> 528-535.</w:t>
      </w:r>
      <w:bookmarkEnd w:id="14"/>
    </w:p>
    <w:p w:rsidR="002B2028" w:rsidRDefault="00A45ADA">
      <w:pPr>
        <w:pStyle w:val="Body"/>
        <w:ind w:left="720" w:hanging="720"/>
        <w:jc w:val="both"/>
      </w:pPr>
      <w:bookmarkStart w:id="15" w:name="_ENREF_15"/>
      <w:proofErr w:type="spellStart"/>
      <w:r>
        <w:rPr>
          <w:rFonts w:ascii="Times New Roman"/>
        </w:rPr>
        <w:t>Heitz</w:t>
      </w:r>
      <w:proofErr w:type="spellEnd"/>
      <w:r>
        <w:rPr>
          <w:rFonts w:ascii="Times New Roman"/>
        </w:rPr>
        <w:t xml:space="preserve">-Mayfield, L. J., </w:t>
      </w:r>
      <w:proofErr w:type="spellStart"/>
      <w:r>
        <w:rPr>
          <w:rFonts w:ascii="Times New Roman"/>
        </w:rPr>
        <w:t>Trombelli</w:t>
      </w:r>
      <w:proofErr w:type="spellEnd"/>
      <w:r>
        <w:rPr>
          <w:rFonts w:ascii="Times New Roman"/>
        </w:rPr>
        <w:t xml:space="preserve">, L., </w:t>
      </w:r>
      <w:proofErr w:type="spellStart"/>
      <w:r>
        <w:rPr>
          <w:rFonts w:ascii="Times New Roman"/>
        </w:rPr>
        <w:t>Heitz</w:t>
      </w:r>
      <w:proofErr w:type="spellEnd"/>
      <w:r>
        <w:rPr>
          <w:rFonts w:ascii="Times New Roman"/>
        </w:rPr>
        <w:t xml:space="preserve">, F., Needleman, I. &amp; Moles, D. (2002) A systematic review of the effect of surgical debridement </w:t>
      </w:r>
      <w:proofErr w:type="spellStart"/>
      <w:r>
        <w:rPr>
          <w:rFonts w:ascii="Times New Roman"/>
        </w:rPr>
        <w:t>vs</w:t>
      </w:r>
      <w:proofErr w:type="spellEnd"/>
      <w:r>
        <w:rPr>
          <w:rFonts w:ascii="Times New Roman"/>
        </w:rPr>
        <w:t xml:space="preserve"> non-surgical debridement for the treatment of chronic periodontitis. </w:t>
      </w:r>
      <w:r>
        <w:rPr>
          <w:rFonts w:ascii="Times New Roman"/>
          <w:i/>
          <w:iCs/>
        </w:rPr>
        <w:t>Journal of Clinical Periodontology</w:t>
      </w:r>
      <w:r>
        <w:rPr>
          <w:rFonts w:ascii="Times New Roman"/>
        </w:rPr>
        <w:t xml:space="preserve"> </w:t>
      </w:r>
      <w:r>
        <w:rPr>
          <w:rFonts w:ascii="Times New Roman"/>
          <w:b/>
          <w:bCs/>
          <w:lang w:val="it-IT"/>
        </w:rPr>
        <w:t>29 Suppl 3,</w:t>
      </w:r>
      <w:r>
        <w:rPr>
          <w:rFonts w:ascii="Times New Roman"/>
        </w:rPr>
        <w:t xml:space="preserve"> 92-102; discussion 160-102. </w:t>
      </w:r>
      <w:bookmarkEnd w:id="15"/>
    </w:p>
    <w:p w:rsidR="002B2028" w:rsidRDefault="00A45ADA">
      <w:pPr>
        <w:pStyle w:val="Body"/>
        <w:ind w:left="720" w:hanging="720"/>
        <w:jc w:val="both"/>
      </w:pPr>
      <w:bookmarkStart w:id="16" w:name="_ENREF_16"/>
      <w:proofErr w:type="spellStart"/>
      <w:r>
        <w:rPr>
          <w:rFonts w:ascii="Times New Roman"/>
        </w:rPr>
        <w:t>Hellden</w:t>
      </w:r>
      <w:proofErr w:type="spellEnd"/>
      <w:r>
        <w:rPr>
          <w:rFonts w:ascii="Times New Roman"/>
        </w:rPr>
        <w:t xml:space="preserve">, L. B., Elliot, A., </w:t>
      </w:r>
      <w:proofErr w:type="spellStart"/>
      <w:r>
        <w:rPr>
          <w:rFonts w:ascii="Times New Roman"/>
        </w:rPr>
        <w:t>Steffensen</w:t>
      </w:r>
      <w:proofErr w:type="spellEnd"/>
      <w:r>
        <w:rPr>
          <w:rFonts w:ascii="Times New Roman"/>
        </w:rPr>
        <w:t xml:space="preserve">, B. &amp; </w:t>
      </w:r>
      <w:proofErr w:type="spellStart"/>
      <w:r>
        <w:rPr>
          <w:rFonts w:ascii="Times New Roman"/>
        </w:rPr>
        <w:t>Steffensen</w:t>
      </w:r>
      <w:proofErr w:type="spellEnd"/>
      <w:r>
        <w:rPr>
          <w:rFonts w:ascii="Times New Roman"/>
        </w:rPr>
        <w:t xml:space="preserve">, J. E. (1989) </w:t>
      </w:r>
      <w:proofErr w:type="gramStart"/>
      <w:r>
        <w:rPr>
          <w:rFonts w:ascii="Times New Roman"/>
        </w:rPr>
        <w:t>The</w:t>
      </w:r>
      <w:proofErr w:type="gramEnd"/>
      <w:r>
        <w:rPr>
          <w:rFonts w:ascii="Times New Roman"/>
        </w:rPr>
        <w:t xml:space="preserve"> prognosis of tunnel preparations in treatment of class III furcations. A follow-up study. </w:t>
      </w:r>
      <w:r>
        <w:rPr>
          <w:rFonts w:ascii="Times New Roman"/>
          <w:i/>
          <w:iCs/>
        </w:rPr>
        <w:t>Journal of Periodontology</w:t>
      </w:r>
      <w:r>
        <w:rPr>
          <w:rFonts w:ascii="Times New Roman"/>
        </w:rPr>
        <w:t xml:space="preserve"> </w:t>
      </w:r>
      <w:r>
        <w:rPr>
          <w:rFonts w:ascii="Times New Roman"/>
          <w:b/>
          <w:bCs/>
        </w:rPr>
        <w:t>60,</w:t>
      </w:r>
      <w:r>
        <w:rPr>
          <w:rFonts w:ascii="Times New Roman"/>
        </w:rPr>
        <w:t xml:space="preserve"> 182-187. </w:t>
      </w:r>
      <w:bookmarkEnd w:id="16"/>
    </w:p>
    <w:p w:rsidR="002B2028" w:rsidRDefault="00A45ADA">
      <w:pPr>
        <w:pStyle w:val="Body"/>
        <w:ind w:left="720" w:hanging="720"/>
        <w:jc w:val="both"/>
      </w:pPr>
      <w:bookmarkStart w:id="17" w:name="_ENREF_17"/>
      <w:r>
        <w:rPr>
          <w:rFonts w:ascii="Times New Roman"/>
        </w:rPr>
        <w:t xml:space="preserve">Higgins, J.P.T., Green, S. (editors). </w:t>
      </w:r>
      <w:r>
        <w:rPr>
          <w:rFonts w:ascii="Times New Roman"/>
          <w:i/>
          <w:iCs/>
        </w:rPr>
        <w:t>Cochrane Handbook for Systematic Reviews of Interventions</w:t>
      </w:r>
      <w:r>
        <w:rPr>
          <w:rFonts w:ascii="Times New Roman"/>
        </w:rPr>
        <w:t xml:space="preserve"> Version 5.1.0 [updated March 2011]. The Cochrane Collaboration, 2011. Available from </w:t>
      </w:r>
      <w:hyperlink r:id="rId8" w:history="1">
        <w:r>
          <w:rPr>
            <w:rStyle w:val="Hyperlink1"/>
            <w:rFonts w:ascii="Times New Roman"/>
          </w:rPr>
          <w:t>www.cochrane-handbook.org</w:t>
        </w:r>
      </w:hyperlink>
      <w:r>
        <w:rPr>
          <w:rFonts w:ascii="Times New Roman"/>
        </w:rPr>
        <w:t>.</w:t>
      </w:r>
    </w:p>
    <w:p w:rsidR="002B2028" w:rsidRDefault="00A45ADA">
      <w:pPr>
        <w:pStyle w:val="Body"/>
        <w:ind w:left="720" w:hanging="720"/>
        <w:jc w:val="both"/>
      </w:pPr>
      <w:proofErr w:type="spellStart"/>
      <w:r>
        <w:rPr>
          <w:rFonts w:ascii="Times New Roman"/>
        </w:rPr>
        <w:t>Hirschfeld</w:t>
      </w:r>
      <w:proofErr w:type="spellEnd"/>
      <w:r>
        <w:rPr>
          <w:rFonts w:ascii="Times New Roman"/>
        </w:rPr>
        <w:t xml:space="preserve">, L. &amp; Wasserman, B. (1978) A long-term survey of tooth loss in 600 treated periodontal patients. </w:t>
      </w:r>
      <w:r>
        <w:rPr>
          <w:rFonts w:ascii="Times New Roman"/>
          <w:i/>
          <w:iCs/>
        </w:rPr>
        <w:t>Journal of Periodontology</w:t>
      </w:r>
      <w:r>
        <w:rPr>
          <w:rFonts w:ascii="Times New Roman"/>
        </w:rPr>
        <w:t xml:space="preserve"> </w:t>
      </w:r>
      <w:r>
        <w:rPr>
          <w:rFonts w:ascii="Times New Roman"/>
          <w:b/>
          <w:bCs/>
        </w:rPr>
        <w:t>49,</w:t>
      </w:r>
      <w:r>
        <w:rPr>
          <w:rFonts w:ascii="Times New Roman"/>
        </w:rPr>
        <w:t xml:space="preserve"> 225-237. </w:t>
      </w:r>
      <w:bookmarkEnd w:id="17"/>
    </w:p>
    <w:p w:rsidR="002B2028" w:rsidRDefault="00A45ADA">
      <w:pPr>
        <w:pStyle w:val="Body"/>
        <w:ind w:left="720" w:hanging="720"/>
        <w:jc w:val="both"/>
      </w:pPr>
      <w:bookmarkStart w:id="18" w:name="_ENREF_18"/>
      <w:r>
        <w:rPr>
          <w:rFonts w:ascii="Times New Roman"/>
        </w:rPr>
        <w:t xml:space="preserve">Huynh-Ba, G., </w:t>
      </w:r>
      <w:proofErr w:type="spellStart"/>
      <w:r>
        <w:rPr>
          <w:rFonts w:ascii="Times New Roman"/>
        </w:rPr>
        <w:t>Kuonen</w:t>
      </w:r>
      <w:proofErr w:type="spellEnd"/>
      <w:r>
        <w:rPr>
          <w:rFonts w:ascii="Times New Roman"/>
        </w:rPr>
        <w:t xml:space="preserve">, P., Hofer, D., </w:t>
      </w:r>
      <w:proofErr w:type="spellStart"/>
      <w:r>
        <w:rPr>
          <w:rFonts w:ascii="Times New Roman"/>
        </w:rPr>
        <w:t>Schmid</w:t>
      </w:r>
      <w:proofErr w:type="spellEnd"/>
      <w:r>
        <w:rPr>
          <w:rFonts w:ascii="Times New Roman"/>
        </w:rPr>
        <w:t xml:space="preserve">, J., Lang, N. P. &amp; </w:t>
      </w:r>
      <w:proofErr w:type="spellStart"/>
      <w:r>
        <w:rPr>
          <w:rFonts w:ascii="Times New Roman"/>
        </w:rPr>
        <w:t>Salvi</w:t>
      </w:r>
      <w:proofErr w:type="spellEnd"/>
      <w:r>
        <w:rPr>
          <w:rFonts w:ascii="Times New Roman"/>
        </w:rPr>
        <w:t xml:space="preserve">, G. E. (2009) </w:t>
      </w:r>
      <w:proofErr w:type="gramStart"/>
      <w:r>
        <w:rPr>
          <w:rFonts w:ascii="Times New Roman"/>
        </w:rPr>
        <w:t>The</w:t>
      </w:r>
      <w:proofErr w:type="gramEnd"/>
      <w:r>
        <w:rPr>
          <w:rFonts w:ascii="Times New Roman"/>
        </w:rPr>
        <w:t xml:space="preserve"> effect of periodontal therapy on the survival rate and incidence of complications of </w:t>
      </w:r>
      <w:proofErr w:type="spellStart"/>
      <w:r>
        <w:rPr>
          <w:rFonts w:ascii="Times New Roman"/>
        </w:rPr>
        <w:t>multirooted</w:t>
      </w:r>
      <w:proofErr w:type="spellEnd"/>
      <w:r>
        <w:rPr>
          <w:rFonts w:ascii="Times New Roman"/>
        </w:rPr>
        <w:t xml:space="preserve"> teeth with furcation involvement after an observation period of at least 5 years: a systematic review. </w:t>
      </w:r>
      <w:r>
        <w:rPr>
          <w:rFonts w:ascii="Times New Roman"/>
          <w:i/>
          <w:iCs/>
        </w:rPr>
        <w:t>Journal of Clinical Periodontology</w:t>
      </w:r>
      <w:r>
        <w:rPr>
          <w:rFonts w:ascii="Times New Roman"/>
        </w:rPr>
        <w:t xml:space="preserve"> </w:t>
      </w:r>
      <w:r>
        <w:rPr>
          <w:rFonts w:ascii="Times New Roman"/>
          <w:b/>
          <w:bCs/>
        </w:rPr>
        <w:t>36,</w:t>
      </w:r>
      <w:r>
        <w:rPr>
          <w:rFonts w:ascii="Times New Roman"/>
        </w:rPr>
        <w:t xml:space="preserve"> 164-176. </w:t>
      </w:r>
      <w:bookmarkEnd w:id="18"/>
    </w:p>
    <w:p w:rsidR="002B2028" w:rsidRDefault="00A45ADA">
      <w:pPr>
        <w:pStyle w:val="Body"/>
        <w:ind w:left="720" w:hanging="720"/>
        <w:jc w:val="both"/>
      </w:pPr>
      <w:bookmarkStart w:id="19" w:name="_ENREF_19"/>
      <w:r>
        <w:rPr>
          <w:rFonts w:ascii="Times New Roman"/>
        </w:rPr>
        <w:t xml:space="preserve">Johansson, K. J., Johansson, C. S. &amp; </w:t>
      </w:r>
      <w:proofErr w:type="spellStart"/>
      <w:r>
        <w:rPr>
          <w:rFonts w:ascii="Times New Roman"/>
        </w:rPr>
        <w:t>Ravald</w:t>
      </w:r>
      <w:proofErr w:type="spellEnd"/>
      <w:r>
        <w:rPr>
          <w:rFonts w:ascii="Times New Roman"/>
        </w:rPr>
        <w:t xml:space="preserve">, N. (2013) </w:t>
      </w:r>
      <w:proofErr w:type="gramStart"/>
      <w:r>
        <w:rPr>
          <w:rFonts w:ascii="Times New Roman"/>
        </w:rPr>
        <w:t>The</w:t>
      </w:r>
      <w:proofErr w:type="gramEnd"/>
      <w:r>
        <w:rPr>
          <w:rFonts w:ascii="Times New Roman"/>
        </w:rPr>
        <w:t xml:space="preserve"> prevalence and alterations of furcation involvements 13 to 16 years after periodontal treatment. </w:t>
      </w:r>
      <w:r>
        <w:rPr>
          <w:rFonts w:ascii="Times New Roman"/>
          <w:i/>
          <w:iCs/>
        </w:rPr>
        <w:t>Swedish Dental Journal</w:t>
      </w:r>
      <w:r>
        <w:rPr>
          <w:rFonts w:ascii="Times New Roman"/>
        </w:rPr>
        <w:t xml:space="preserve"> </w:t>
      </w:r>
      <w:r>
        <w:rPr>
          <w:rFonts w:ascii="Times New Roman"/>
          <w:b/>
          <w:bCs/>
        </w:rPr>
        <w:t>37,</w:t>
      </w:r>
      <w:r>
        <w:rPr>
          <w:rFonts w:ascii="Times New Roman"/>
        </w:rPr>
        <w:t xml:space="preserve"> 87-95.</w:t>
      </w:r>
      <w:bookmarkEnd w:id="19"/>
    </w:p>
    <w:p w:rsidR="002B2028" w:rsidRDefault="00A45ADA">
      <w:pPr>
        <w:pStyle w:val="Body"/>
        <w:ind w:left="720" w:hanging="720"/>
        <w:jc w:val="both"/>
      </w:pPr>
      <w:bookmarkStart w:id="20" w:name="_ENREF_20"/>
      <w:proofErr w:type="spellStart"/>
      <w:r>
        <w:rPr>
          <w:rFonts w:ascii="Times New Roman"/>
        </w:rPr>
        <w:t>Kuhrau</w:t>
      </w:r>
      <w:proofErr w:type="spellEnd"/>
      <w:r>
        <w:rPr>
          <w:rFonts w:ascii="Times New Roman"/>
        </w:rPr>
        <w:t xml:space="preserve">, N., Kocher, T. &amp; </w:t>
      </w:r>
      <w:proofErr w:type="spellStart"/>
      <w:r>
        <w:rPr>
          <w:rFonts w:ascii="Times New Roman"/>
        </w:rPr>
        <w:t>Plagmann</w:t>
      </w:r>
      <w:proofErr w:type="spellEnd"/>
      <w:r>
        <w:rPr>
          <w:rFonts w:ascii="Times New Roman"/>
        </w:rPr>
        <w:t xml:space="preserve">, H. C. (1990) [Periodontal treatment of </w:t>
      </w:r>
      <w:proofErr w:type="spellStart"/>
      <w:r>
        <w:rPr>
          <w:rFonts w:ascii="Times New Roman"/>
        </w:rPr>
        <w:t>furcally</w:t>
      </w:r>
      <w:proofErr w:type="spellEnd"/>
      <w:r>
        <w:rPr>
          <w:rFonts w:ascii="Times New Roman"/>
        </w:rPr>
        <w:t xml:space="preserve"> involved teeth: with or without root resection?]. </w:t>
      </w:r>
      <w:r>
        <w:rPr>
          <w:rFonts w:ascii="Times New Roman"/>
          <w:i/>
          <w:iCs/>
          <w:lang w:val="de-DE"/>
        </w:rPr>
        <w:t>Deutsche Zahnarztliche Zeitschrift</w:t>
      </w:r>
      <w:r>
        <w:rPr>
          <w:rFonts w:ascii="Times New Roman"/>
        </w:rPr>
        <w:t xml:space="preserve"> </w:t>
      </w:r>
      <w:r>
        <w:rPr>
          <w:rFonts w:ascii="Times New Roman"/>
          <w:b/>
          <w:bCs/>
        </w:rPr>
        <w:t>45,</w:t>
      </w:r>
      <w:r>
        <w:rPr>
          <w:rFonts w:ascii="Times New Roman"/>
        </w:rPr>
        <w:t xml:space="preserve"> 455-457.</w:t>
      </w:r>
      <w:bookmarkEnd w:id="20"/>
    </w:p>
    <w:p w:rsidR="002B2028" w:rsidRDefault="00A45ADA">
      <w:pPr>
        <w:pStyle w:val="Body"/>
        <w:ind w:left="720" w:hanging="720"/>
        <w:jc w:val="both"/>
      </w:pPr>
      <w:bookmarkStart w:id="21" w:name="_ENREF_21"/>
      <w:r>
        <w:rPr>
          <w:rFonts w:ascii="Times New Roman"/>
        </w:rPr>
        <w:t xml:space="preserve">Lang, N. P., Cumming, B. R. &amp; </w:t>
      </w:r>
      <w:proofErr w:type="spellStart"/>
      <w:r>
        <w:rPr>
          <w:rFonts w:ascii="Times New Roman"/>
        </w:rPr>
        <w:t>Loe</w:t>
      </w:r>
      <w:proofErr w:type="spellEnd"/>
      <w:r>
        <w:rPr>
          <w:rFonts w:ascii="Times New Roman"/>
        </w:rPr>
        <w:t xml:space="preserve">, H. (1973) </w:t>
      </w:r>
      <w:proofErr w:type="spellStart"/>
      <w:r>
        <w:rPr>
          <w:rFonts w:ascii="Times New Roman"/>
        </w:rPr>
        <w:t>Toothbrushing</w:t>
      </w:r>
      <w:proofErr w:type="spellEnd"/>
      <w:r>
        <w:rPr>
          <w:rFonts w:ascii="Times New Roman"/>
        </w:rPr>
        <w:t xml:space="preserve"> frequency as it relates to plaque development and gingival health. </w:t>
      </w:r>
      <w:r>
        <w:rPr>
          <w:rFonts w:ascii="Times New Roman"/>
          <w:i/>
          <w:iCs/>
        </w:rPr>
        <w:t>Journal of Periodontology</w:t>
      </w:r>
      <w:r>
        <w:rPr>
          <w:rFonts w:ascii="Times New Roman"/>
        </w:rPr>
        <w:t xml:space="preserve"> </w:t>
      </w:r>
      <w:r>
        <w:rPr>
          <w:rFonts w:ascii="Times New Roman"/>
          <w:b/>
          <w:bCs/>
        </w:rPr>
        <w:t>44,</w:t>
      </w:r>
      <w:r>
        <w:rPr>
          <w:rFonts w:ascii="Times New Roman"/>
        </w:rPr>
        <w:t xml:space="preserve"> 396-405. </w:t>
      </w:r>
      <w:bookmarkEnd w:id="21"/>
    </w:p>
    <w:p w:rsidR="002B2028" w:rsidRDefault="00A45ADA">
      <w:pPr>
        <w:pStyle w:val="Body"/>
        <w:ind w:left="720" w:hanging="720"/>
        <w:jc w:val="both"/>
      </w:pPr>
      <w:bookmarkStart w:id="22" w:name="_ENREF_22"/>
      <w:proofErr w:type="spellStart"/>
      <w:r>
        <w:rPr>
          <w:rFonts w:ascii="Times New Roman"/>
        </w:rPr>
        <w:lastRenderedPageBreak/>
        <w:t>Lindhe</w:t>
      </w:r>
      <w:proofErr w:type="spellEnd"/>
      <w:r>
        <w:rPr>
          <w:rFonts w:ascii="Times New Roman"/>
        </w:rPr>
        <w:t xml:space="preserve">, J. &amp; Nyman, S. (1975) </w:t>
      </w:r>
      <w:proofErr w:type="gramStart"/>
      <w:r>
        <w:rPr>
          <w:rFonts w:ascii="Times New Roman"/>
        </w:rPr>
        <w:t>The</w:t>
      </w:r>
      <w:proofErr w:type="gramEnd"/>
      <w:r>
        <w:rPr>
          <w:rFonts w:ascii="Times New Roman"/>
        </w:rPr>
        <w:t xml:space="preserve"> effect of plaque control and surgical pocket elimination on the establishment and maintenance of periodontal health. A longitudinal study of periodontal therapy in cases of advanced disease. </w:t>
      </w:r>
      <w:r>
        <w:rPr>
          <w:rFonts w:ascii="Times New Roman"/>
          <w:i/>
          <w:iCs/>
        </w:rPr>
        <w:t>Journal of Clinical Periodontology</w:t>
      </w:r>
      <w:r>
        <w:rPr>
          <w:rFonts w:ascii="Times New Roman"/>
        </w:rPr>
        <w:t xml:space="preserve"> </w:t>
      </w:r>
      <w:r>
        <w:rPr>
          <w:rFonts w:ascii="Times New Roman"/>
          <w:b/>
          <w:bCs/>
        </w:rPr>
        <w:t>2,</w:t>
      </w:r>
      <w:r>
        <w:rPr>
          <w:rFonts w:ascii="Times New Roman"/>
        </w:rPr>
        <w:t xml:space="preserve"> 67-79.</w:t>
      </w:r>
      <w:bookmarkEnd w:id="22"/>
    </w:p>
    <w:p w:rsidR="002B2028" w:rsidRDefault="00A45ADA">
      <w:pPr>
        <w:pStyle w:val="Body"/>
        <w:ind w:left="720" w:hanging="720"/>
        <w:jc w:val="both"/>
      </w:pPr>
      <w:bookmarkStart w:id="23" w:name="_ENREF_23"/>
      <w:r>
        <w:rPr>
          <w:rFonts w:ascii="Times New Roman"/>
        </w:rPr>
        <w:t xml:space="preserve">Little, L. A., Beck, F. M., </w:t>
      </w:r>
      <w:proofErr w:type="spellStart"/>
      <w:r>
        <w:rPr>
          <w:rFonts w:ascii="Times New Roman"/>
        </w:rPr>
        <w:t>Bagci</w:t>
      </w:r>
      <w:proofErr w:type="spellEnd"/>
      <w:r>
        <w:rPr>
          <w:rFonts w:ascii="Times New Roman"/>
        </w:rPr>
        <w:t xml:space="preserve">, B. &amp; Horton, J. E. (1995) Lack of </w:t>
      </w:r>
      <w:proofErr w:type="spellStart"/>
      <w:r>
        <w:rPr>
          <w:rFonts w:ascii="Times New Roman"/>
        </w:rPr>
        <w:t>furcal</w:t>
      </w:r>
      <w:proofErr w:type="spellEnd"/>
      <w:r>
        <w:rPr>
          <w:rFonts w:ascii="Times New Roman"/>
        </w:rPr>
        <w:t xml:space="preserve"> bone loss following the tunneling procedure. </w:t>
      </w:r>
      <w:r>
        <w:rPr>
          <w:rFonts w:ascii="Times New Roman"/>
          <w:i/>
          <w:iCs/>
        </w:rPr>
        <w:t>Journal of Clinical Periodontology</w:t>
      </w:r>
      <w:r>
        <w:rPr>
          <w:rFonts w:ascii="Times New Roman"/>
        </w:rPr>
        <w:t xml:space="preserve"> </w:t>
      </w:r>
      <w:r>
        <w:rPr>
          <w:rFonts w:ascii="Times New Roman"/>
          <w:b/>
          <w:bCs/>
        </w:rPr>
        <w:t>22,</w:t>
      </w:r>
      <w:r>
        <w:rPr>
          <w:rFonts w:ascii="Times New Roman"/>
        </w:rPr>
        <w:t xml:space="preserve"> 637-641.</w:t>
      </w:r>
      <w:bookmarkEnd w:id="23"/>
    </w:p>
    <w:p w:rsidR="002B2028" w:rsidRDefault="00A45ADA">
      <w:pPr>
        <w:pStyle w:val="Body"/>
        <w:ind w:left="720" w:hanging="720"/>
        <w:jc w:val="both"/>
      </w:pPr>
      <w:bookmarkStart w:id="24" w:name="_ENREF_24"/>
      <w:r>
        <w:rPr>
          <w:rFonts w:ascii="Times New Roman"/>
        </w:rPr>
        <w:t xml:space="preserve">Loos, B., </w:t>
      </w:r>
      <w:proofErr w:type="spellStart"/>
      <w:r>
        <w:rPr>
          <w:rFonts w:ascii="Times New Roman"/>
        </w:rPr>
        <w:t>Claffey</w:t>
      </w:r>
      <w:proofErr w:type="spellEnd"/>
      <w:r>
        <w:rPr>
          <w:rFonts w:ascii="Times New Roman"/>
        </w:rPr>
        <w:t xml:space="preserve">, N. &amp; </w:t>
      </w:r>
      <w:proofErr w:type="spellStart"/>
      <w:r>
        <w:rPr>
          <w:rFonts w:ascii="Times New Roman"/>
        </w:rPr>
        <w:t>Egelberg</w:t>
      </w:r>
      <w:proofErr w:type="spellEnd"/>
      <w:r>
        <w:rPr>
          <w:rFonts w:ascii="Times New Roman"/>
        </w:rPr>
        <w:t xml:space="preserve">, J. (1988) Clinical and microbiological effects of root debridement in periodontal furcation pockets. </w:t>
      </w:r>
      <w:r>
        <w:rPr>
          <w:rFonts w:ascii="Times New Roman"/>
          <w:i/>
          <w:iCs/>
        </w:rPr>
        <w:t>Journal of Clinical Periodontology</w:t>
      </w:r>
      <w:r>
        <w:rPr>
          <w:rFonts w:ascii="Times New Roman"/>
        </w:rPr>
        <w:t xml:space="preserve"> </w:t>
      </w:r>
      <w:r>
        <w:rPr>
          <w:rFonts w:ascii="Times New Roman"/>
          <w:b/>
          <w:bCs/>
        </w:rPr>
        <w:t>15,</w:t>
      </w:r>
      <w:r>
        <w:rPr>
          <w:rFonts w:ascii="Times New Roman"/>
        </w:rPr>
        <w:t xml:space="preserve"> 453-463.</w:t>
      </w:r>
      <w:bookmarkEnd w:id="24"/>
    </w:p>
    <w:p w:rsidR="002B2028" w:rsidRDefault="00A45ADA">
      <w:pPr>
        <w:pStyle w:val="Body"/>
        <w:ind w:left="720" w:hanging="720"/>
        <w:jc w:val="both"/>
      </w:pPr>
      <w:bookmarkStart w:id="25" w:name="_ENREF_25"/>
      <w:proofErr w:type="spellStart"/>
      <w:r>
        <w:rPr>
          <w:rFonts w:ascii="Times New Roman"/>
        </w:rPr>
        <w:t>McFall</w:t>
      </w:r>
      <w:proofErr w:type="spellEnd"/>
      <w:r>
        <w:rPr>
          <w:rFonts w:ascii="Times New Roman"/>
        </w:rPr>
        <w:t xml:space="preserve">, W. T., Jr. (1982) Tooth loss in 100 treated patients with periodontal disease. A long-term study. </w:t>
      </w:r>
      <w:r>
        <w:rPr>
          <w:rFonts w:ascii="Times New Roman"/>
          <w:i/>
          <w:iCs/>
        </w:rPr>
        <w:t>Journal of Periodontology</w:t>
      </w:r>
      <w:r>
        <w:rPr>
          <w:rFonts w:ascii="Times New Roman"/>
        </w:rPr>
        <w:t xml:space="preserve"> </w:t>
      </w:r>
      <w:r>
        <w:rPr>
          <w:rFonts w:ascii="Times New Roman"/>
          <w:b/>
          <w:bCs/>
        </w:rPr>
        <w:t>53,</w:t>
      </w:r>
      <w:r>
        <w:rPr>
          <w:rFonts w:ascii="Times New Roman"/>
        </w:rPr>
        <w:t xml:space="preserve"> 539-549. </w:t>
      </w:r>
      <w:bookmarkEnd w:id="25"/>
    </w:p>
    <w:p w:rsidR="002B2028" w:rsidRDefault="00A45ADA">
      <w:pPr>
        <w:pStyle w:val="Body"/>
        <w:ind w:left="720" w:hanging="720"/>
        <w:jc w:val="both"/>
      </w:pPr>
      <w:bookmarkStart w:id="26" w:name="_ENREF_26"/>
      <w:r>
        <w:rPr>
          <w:rFonts w:ascii="Times New Roman"/>
        </w:rPr>
        <w:t xml:space="preserve">McGuire, M. K. &amp; Nunn, M. E. (1996) Prognosis versus actual outcome. III. The effectiveness of clinical parameters in accurately predicting tooth survival. </w:t>
      </w:r>
      <w:r>
        <w:rPr>
          <w:rFonts w:ascii="Times New Roman"/>
          <w:i/>
          <w:iCs/>
        </w:rPr>
        <w:t>Journal of Periodontology</w:t>
      </w:r>
      <w:r>
        <w:rPr>
          <w:rFonts w:ascii="Times New Roman"/>
        </w:rPr>
        <w:t xml:space="preserve"> </w:t>
      </w:r>
      <w:r>
        <w:rPr>
          <w:rFonts w:ascii="Times New Roman"/>
          <w:b/>
          <w:bCs/>
        </w:rPr>
        <w:t>67,</w:t>
      </w:r>
      <w:r>
        <w:rPr>
          <w:rFonts w:ascii="Times New Roman"/>
        </w:rPr>
        <w:t xml:space="preserve"> 666-674. </w:t>
      </w:r>
      <w:bookmarkEnd w:id="26"/>
    </w:p>
    <w:p w:rsidR="002B2028" w:rsidRDefault="00A45ADA">
      <w:pPr>
        <w:pStyle w:val="Body"/>
        <w:ind w:left="720" w:hanging="720"/>
        <w:jc w:val="both"/>
      </w:pPr>
      <w:bookmarkStart w:id="27" w:name="_ENREF_27"/>
      <w:r>
        <w:rPr>
          <w:rFonts w:ascii="Times New Roman"/>
        </w:rPr>
        <w:t xml:space="preserve">McLeod, D. E., </w:t>
      </w:r>
      <w:proofErr w:type="spellStart"/>
      <w:r>
        <w:rPr>
          <w:rFonts w:ascii="Times New Roman"/>
        </w:rPr>
        <w:t>Lainson</w:t>
      </w:r>
      <w:proofErr w:type="spellEnd"/>
      <w:r>
        <w:rPr>
          <w:rFonts w:ascii="Times New Roman"/>
        </w:rPr>
        <w:t xml:space="preserve">, P. A. &amp; Spivey, J. D. (1998) </w:t>
      </w:r>
      <w:proofErr w:type="gramStart"/>
      <w:r>
        <w:rPr>
          <w:rFonts w:ascii="Times New Roman"/>
        </w:rPr>
        <w:t>The</w:t>
      </w:r>
      <w:proofErr w:type="gramEnd"/>
      <w:r>
        <w:rPr>
          <w:rFonts w:ascii="Times New Roman"/>
        </w:rPr>
        <w:t xml:space="preserve"> predictability of periodontal treatment as measured by tooth loss: a retrospective study. </w:t>
      </w:r>
      <w:r>
        <w:rPr>
          <w:rFonts w:ascii="Times New Roman"/>
          <w:i/>
          <w:iCs/>
          <w:lang w:val="fr-FR"/>
        </w:rPr>
        <w:t>Quintessence International</w:t>
      </w:r>
      <w:r>
        <w:rPr>
          <w:rFonts w:ascii="Times New Roman"/>
        </w:rPr>
        <w:t xml:space="preserve"> </w:t>
      </w:r>
      <w:r>
        <w:rPr>
          <w:rFonts w:ascii="Times New Roman"/>
          <w:b/>
          <w:bCs/>
        </w:rPr>
        <w:t>29,</w:t>
      </w:r>
      <w:r>
        <w:rPr>
          <w:rFonts w:ascii="Times New Roman"/>
        </w:rPr>
        <w:t xml:space="preserve"> 631-635.</w:t>
      </w:r>
      <w:bookmarkEnd w:id="27"/>
    </w:p>
    <w:p w:rsidR="002B2028" w:rsidRDefault="00A45ADA">
      <w:pPr>
        <w:pStyle w:val="Body"/>
        <w:ind w:left="720" w:hanging="720"/>
        <w:jc w:val="both"/>
      </w:pPr>
      <w:bookmarkStart w:id="28" w:name="_ENREF_28"/>
      <w:r>
        <w:rPr>
          <w:rFonts w:ascii="Times New Roman"/>
        </w:rPr>
        <w:t xml:space="preserve">Miller, P. D., Jr., </w:t>
      </w:r>
      <w:proofErr w:type="spellStart"/>
      <w:r>
        <w:rPr>
          <w:rFonts w:ascii="Times New Roman"/>
        </w:rPr>
        <w:t>McEntire</w:t>
      </w:r>
      <w:proofErr w:type="spellEnd"/>
      <w:r>
        <w:rPr>
          <w:rFonts w:ascii="Times New Roman"/>
        </w:rPr>
        <w:t xml:space="preserve">, M. L., Marlow, N. M. &amp; </w:t>
      </w:r>
      <w:proofErr w:type="spellStart"/>
      <w:r>
        <w:rPr>
          <w:rFonts w:ascii="Times New Roman"/>
        </w:rPr>
        <w:t>Gellin</w:t>
      </w:r>
      <w:proofErr w:type="spellEnd"/>
      <w:r>
        <w:rPr>
          <w:rFonts w:ascii="Times New Roman"/>
        </w:rPr>
        <w:t xml:space="preserve">, R. G. (2014) An evidenced-based scoring index to determine the periodontal prognosis on molars. </w:t>
      </w:r>
      <w:r>
        <w:rPr>
          <w:rFonts w:ascii="Times New Roman"/>
          <w:i/>
          <w:iCs/>
        </w:rPr>
        <w:t>Journal of Periodontology</w:t>
      </w:r>
      <w:r>
        <w:rPr>
          <w:rFonts w:ascii="Times New Roman"/>
        </w:rPr>
        <w:t xml:space="preserve"> </w:t>
      </w:r>
      <w:r>
        <w:rPr>
          <w:rFonts w:ascii="Times New Roman"/>
          <w:b/>
          <w:bCs/>
        </w:rPr>
        <w:t>85,</w:t>
      </w:r>
      <w:r>
        <w:rPr>
          <w:rFonts w:ascii="Times New Roman"/>
        </w:rPr>
        <w:t xml:space="preserve"> 214-225. </w:t>
      </w:r>
      <w:bookmarkEnd w:id="28"/>
    </w:p>
    <w:p w:rsidR="002B2028" w:rsidRDefault="00A45ADA">
      <w:pPr>
        <w:pStyle w:val="Body"/>
        <w:ind w:left="720" w:hanging="720"/>
        <w:jc w:val="both"/>
      </w:pPr>
      <w:bookmarkStart w:id="29" w:name="_ENREF_29"/>
      <w:proofErr w:type="spellStart"/>
      <w:r>
        <w:rPr>
          <w:rFonts w:ascii="Times New Roman"/>
        </w:rPr>
        <w:t>Moher</w:t>
      </w:r>
      <w:proofErr w:type="spellEnd"/>
      <w:r>
        <w:rPr>
          <w:rFonts w:ascii="Times New Roman"/>
        </w:rPr>
        <w:t xml:space="preserve">, D., </w:t>
      </w:r>
      <w:proofErr w:type="spellStart"/>
      <w:r>
        <w:rPr>
          <w:rFonts w:ascii="Times New Roman"/>
        </w:rPr>
        <w:t>Liberati</w:t>
      </w:r>
      <w:proofErr w:type="spellEnd"/>
      <w:r>
        <w:rPr>
          <w:rFonts w:ascii="Times New Roman"/>
        </w:rPr>
        <w:t xml:space="preserve">, A., </w:t>
      </w:r>
      <w:proofErr w:type="spellStart"/>
      <w:r>
        <w:rPr>
          <w:rFonts w:ascii="Times New Roman"/>
        </w:rPr>
        <w:t>Tetzlaff</w:t>
      </w:r>
      <w:proofErr w:type="spellEnd"/>
      <w:r>
        <w:rPr>
          <w:rFonts w:ascii="Times New Roman"/>
        </w:rPr>
        <w:t xml:space="preserve">, J. &amp; Altman, D. G. (2009) Preferred reporting items for systematic reviews and meta-analyses: the PRISMA statement. </w:t>
      </w:r>
      <w:r>
        <w:rPr>
          <w:rFonts w:ascii="Times New Roman"/>
          <w:i/>
          <w:iCs/>
        </w:rPr>
        <w:t>Annals of Internal Medicine</w:t>
      </w:r>
      <w:r>
        <w:rPr>
          <w:rFonts w:ascii="Times New Roman"/>
        </w:rPr>
        <w:t xml:space="preserve"> </w:t>
      </w:r>
      <w:r>
        <w:rPr>
          <w:rFonts w:ascii="Times New Roman"/>
          <w:b/>
          <w:bCs/>
        </w:rPr>
        <w:t>151,</w:t>
      </w:r>
      <w:r>
        <w:rPr>
          <w:rFonts w:ascii="Times New Roman"/>
        </w:rPr>
        <w:t xml:space="preserve"> 264-269, W264. </w:t>
      </w:r>
      <w:bookmarkEnd w:id="29"/>
    </w:p>
    <w:p w:rsidR="002B2028" w:rsidRDefault="00A45ADA">
      <w:pPr>
        <w:pStyle w:val="Body"/>
        <w:ind w:left="720" w:hanging="720"/>
        <w:jc w:val="both"/>
      </w:pPr>
      <w:bookmarkStart w:id="30" w:name="_ENREF_30"/>
      <w:r>
        <w:rPr>
          <w:rFonts w:ascii="Times New Roman"/>
          <w:lang w:val="it-IT"/>
        </w:rPr>
        <w:t xml:space="preserve">Muller, H. P. &amp; Eger, T. (1999) Furcation diagnosis. </w:t>
      </w:r>
      <w:r>
        <w:rPr>
          <w:rFonts w:ascii="Times New Roman"/>
          <w:i/>
          <w:iCs/>
        </w:rPr>
        <w:t>Journal of Clinical Periodontology</w:t>
      </w:r>
      <w:r>
        <w:rPr>
          <w:rFonts w:ascii="Times New Roman"/>
        </w:rPr>
        <w:t xml:space="preserve"> </w:t>
      </w:r>
      <w:r>
        <w:rPr>
          <w:rFonts w:ascii="Times New Roman"/>
          <w:b/>
          <w:bCs/>
        </w:rPr>
        <w:t>26,</w:t>
      </w:r>
      <w:r>
        <w:rPr>
          <w:rFonts w:ascii="Times New Roman"/>
        </w:rPr>
        <w:t xml:space="preserve"> 485-498.</w:t>
      </w:r>
      <w:bookmarkEnd w:id="30"/>
    </w:p>
    <w:p w:rsidR="002B2028" w:rsidRDefault="00A45ADA">
      <w:pPr>
        <w:pStyle w:val="Body"/>
        <w:ind w:left="720" w:hanging="720"/>
        <w:jc w:val="both"/>
      </w:pPr>
      <w:bookmarkStart w:id="31" w:name="_ENREF_31"/>
      <w:proofErr w:type="spellStart"/>
      <w:r>
        <w:rPr>
          <w:rFonts w:ascii="Times New Roman"/>
        </w:rPr>
        <w:t>Nordland</w:t>
      </w:r>
      <w:proofErr w:type="spellEnd"/>
      <w:r>
        <w:rPr>
          <w:rFonts w:ascii="Times New Roman"/>
        </w:rPr>
        <w:t xml:space="preserve">, P., Garrett, S., Kiger, R., </w:t>
      </w:r>
      <w:proofErr w:type="spellStart"/>
      <w:r>
        <w:rPr>
          <w:rFonts w:ascii="Times New Roman"/>
        </w:rPr>
        <w:t>Vanooteghem</w:t>
      </w:r>
      <w:proofErr w:type="spellEnd"/>
      <w:r>
        <w:rPr>
          <w:rFonts w:ascii="Times New Roman"/>
        </w:rPr>
        <w:t xml:space="preserve">, R., Hutchens, L. H. &amp; </w:t>
      </w:r>
      <w:proofErr w:type="spellStart"/>
      <w:r>
        <w:rPr>
          <w:rFonts w:ascii="Times New Roman"/>
        </w:rPr>
        <w:t>Egelberg</w:t>
      </w:r>
      <w:proofErr w:type="spellEnd"/>
      <w:r>
        <w:rPr>
          <w:rFonts w:ascii="Times New Roman"/>
        </w:rPr>
        <w:t xml:space="preserve">, J. (1987) </w:t>
      </w:r>
      <w:proofErr w:type="gramStart"/>
      <w:r>
        <w:rPr>
          <w:rFonts w:ascii="Times New Roman"/>
        </w:rPr>
        <w:t>The</w:t>
      </w:r>
      <w:proofErr w:type="gramEnd"/>
      <w:r>
        <w:rPr>
          <w:rFonts w:ascii="Times New Roman"/>
        </w:rPr>
        <w:t xml:space="preserve"> effect of plaque control and root debridement in molar teeth. </w:t>
      </w:r>
      <w:r>
        <w:rPr>
          <w:rFonts w:ascii="Times New Roman"/>
          <w:i/>
          <w:iCs/>
        </w:rPr>
        <w:t>Journal of Clinical Periodontology</w:t>
      </w:r>
      <w:r>
        <w:rPr>
          <w:rFonts w:ascii="Times New Roman"/>
        </w:rPr>
        <w:t xml:space="preserve"> </w:t>
      </w:r>
      <w:r>
        <w:rPr>
          <w:rFonts w:ascii="Times New Roman"/>
          <w:b/>
          <w:bCs/>
        </w:rPr>
        <w:t>14,</w:t>
      </w:r>
      <w:r>
        <w:rPr>
          <w:rFonts w:ascii="Times New Roman"/>
        </w:rPr>
        <w:t xml:space="preserve"> 231-236.</w:t>
      </w:r>
      <w:bookmarkEnd w:id="31"/>
    </w:p>
    <w:p w:rsidR="002B2028" w:rsidRDefault="00A45ADA">
      <w:pPr>
        <w:pStyle w:val="Body"/>
        <w:ind w:left="720" w:hanging="720"/>
        <w:jc w:val="both"/>
      </w:pPr>
      <w:bookmarkStart w:id="32" w:name="_ENREF_32"/>
      <w:proofErr w:type="spellStart"/>
      <w:r>
        <w:rPr>
          <w:rFonts w:ascii="Times New Roman"/>
        </w:rPr>
        <w:t>Pretzl</w:t>
      </w:r>
      <w:proofErr w:type="spellEnd"/>
      <w:r>
        <w:rPr>
          <w:rFonts w:ascii="Times New Roman"/>
        </w:rPr>
        <w:t xml:space="preserve">, B., </w:t>
      </w:r>
      <w:proofErr w:type="spellStart"/>
      <w:r>
        <w:rPr>
          <w:rFonts w:ascii="Times New Roman"/>
        </w:rPr>
        <w:t>Kaltschmitt</w:t>
      </w:r>
      <w:proofErr w:type="spellEnd"/>
      <w:r>
        <w:rPr>
          <w:rFonts w:ascii="Times New Roman"/>
        </w:rPr>
        <w:t xml:space="preserve">, J., Kim, T. S., </w:t>
      </w:r>
      <w:proofErr w:type="spellStart"/>
      <w:r>
        <w:rPr>
          <w:rFonts w:ascii="Times New Roman"/>
        </w:rPr>
        <w:t>Reitmeir</w:t>
      </w:r>
      <w:proofErr w:type="spellEnd"/>
      <w:r>
        <w:rPr>
          <w:rFonts w:ascii="Times New Roman"/>
        </w:rPr>
        <w:t xml:space="preserve">, P. &amp; </w:t>
      </w:r>
      <w:proofErr w:type="spellStart"/>
      <w:r>
        <w:rPr>
          <w:rFonts w:ascii="Times New Roman"/>
        </w:rPr>
        <w:t>Eickholz</w:t>
      </w:r>
      <w:proofErr w:type="spellEnd"/>
      <w:r>
        <w:rPr>
          <w:rFonts w:ascii="Times New Roman"/>
        </w:rPr>
        <w:t xml:space="preserve">, P. (2008) Tooth loss after active periodontal therapy. 2: tooth-related factors. </w:t>
      </w:r>
      <w:r>
        <w:rPr>
          <w:rFonts w:ascii="Times New Roman"/>
          <w:i/>
          <w:iCs/>
        </w:rPr>
        <w:t>Journal of Clinical Periodontology</w:t>
      </w:r>
      <w:r>
        <w:rPr>
          <w:rFonts w:ascii="Times New Roman"/>
        </w:rPr>
        <w:t xml:space="preserve"> </w:t>
      </w:r>
      <w:r>
        <w:rPr>
          <w:rFonts w:ascii="Times New Roman"/>
          <w:b/>
          <w:bCs/>
        </w:rPr>
        <w:t>35,</w:t>
      </w:r>
      <w:r>
        <w:rPr>
          <w:rFonts w:ascii="Times New Roman"/>
        </w:rPr>
        <w:t xml:space="preserve"> 175-182. </w:t>
      </w:r>
      <w:bookmarkEnd w:id="32"/>
    </w:p>
    <w:p w:rsidR="002B2028" w:rsidRDefault="00A45ADA">
      <w:pPr>
        <w:pStyle w:val="Body"/>
        <w:ind w:left="720" w:hanging="720"/>
        <w:jc w:val="both"/>
      </w:pPr>
      <w:bookmarkStart w:id="33" w:name="_ENREF_33"/>
      <w:r>
        <w:rPr>
          <w:rFonts w:ascii="Times New Roman"/>
        </w:rPr>
        <w:t xml:space="preserve">Reddy, M. S., </w:t>
      </w:r>
      <w:proofErr w:type="spellStart"/>
      <w:r>
        <w:rPr>
          <w:rFonts w:ascii="Times New Roman"/>
        </w:rPr>
        <w:t>Aichelmann-Reidy</w:t>
      </w:r>
      <w:proofErr w:type="spellEnd"/>
      <w:r>
        <w:rPr>
          <w:rFonts w:ascii="Times New Roman"/>
        </w:rPr>
        <w:t xml:space="preserve">, M. E., Avila-Ortiz, G., </w:t>
      </w:r>
      <w:proofErr w:type="spellStart"/>
      <w:r>
        <w:rPr>
          <w:rFonts w:ascii="Times New Roman"/>
        </w:rPr>
        <w:t>Klokkevold</w:t>
      </w:r>
      <w:proofErr w:type="spellEnd"/>
      <w:r>
        <w:rPr>
          <w:rFonts w:ascii="Times New Roman"/>
        </w:rPr>
        <w:t xml:space="preserve">, P. R., Murphy, K. G., Rosen, P. S., </w:t>
      </w:r>
      <w:proofErr w:type="spellStart"/>
      <w:r>
        <w:rPr>
          <w:rFonts w:ascii="Times New Roman"/>
        </w:rPr>
        <w:t>Schallhorn</w:t>
      </w:r>
      <w:proofErr w:type="spellEnd"/>
      <w:r>
        <w:rPr>
          <w:rFonts w:ascii="Times New Roman"/>
        </w:rPr>
        <w:t xml:space="preserve">, R. G., </w:t>
      </w:r>
      <w:proofErr w:type="spellStart"/>
      <w:r>
        <w:rPr>
          <w:rFonts w:ascii="Times New Roman"/>
        </w:rPr>
        <w:t>Sculean</w:t>
      </w:r>
      <w:proofErr w:type="spellEnd"/>
      <w:r>
        <w:rPr>
          <w:rFonts w:ascii="Times New Roman"/>
        </w:rPr>
        <w:t xml:space="preserve">, A. &amp; Wang, H. L. (2015) Periodontal regeneration - furcation defects: a consensus report from the AAP Regeneration Workshop. </w:t>
      </w:r>
      <w:r>
        <w:rPr>
          <w:rFonts w:ascii="Times New Roman"/>
          <w:i/>
          <w:iCs/>
        </w:rPr>
        <w:t>Journal of Periodontology</w:t>
      </w:r>
      <w:r>
        <w:rPr>
          <w:rFonts w:ascii="Times New Roman"/>
        </w:rPr>
        <w:t xml:space="preserve"> </w:t>
      </w:r>
      <w:r>
        <w:rPr>
          <w:rFonts w:ascii="Times New Roman"/>
          <w:b/>
          <w:bCs/>
        </w:rPr>
        <w:t>86,</w:t>
      </w:r>
      <w:r>
        <w:rPr>
          <w:rFonts w:ascii="Times New Roman"/>
        </w:rPr>
        <w:t xml:space="preserve"> S131-133. </w:t>
      </w:r>
      <w:bookmarkEnd w:id="33"/>
    </w:p>
    <w:p w:rsidR="002B2028" w:rsidRDefault="00A45ADA">
      <w:pPr>
        <w:pStyle w:val="Body"/>
        <w:ind w:left="720" w:hanging="720"/>
        <w:jc w:val="both"/>
      </w:pPr>
      <w:bookmarkStart w:id="34" w:name="_ENREF_34"/>
      <w:r>
        <w:rPr>
          <w:rFonts w:ascii="Times New Roman"/>
        </w:rPr>
        <w:t xml:space="preserve">Ross, I. F. &amp; Thompson, R. H., Jr. (1978) </w:t>
      </w:r>
      <w:proofErr w:type="gramStart"/>
      <w:r>
        <w:rPr>
          <w:rFonts w:ascii="Times New Roman"/>
        </w:rPr>
        <w:t>A</w:t>
      </w:r>
      <w:proofErr w:type="gramEnd"/>
      <w:r>
        <w:rPr>
          <w:rFonts w:ascii="Times New Roman"/>
        </w:rPr>
        <w:t xml:space="preserve"> long term study of root retention in the treatment of maxillary molars with furcation involvement. </w:t>
      </w:r>
      <w:r>
        <w:rPr>
          <w:rFonts w:ascii="Times New Roman"/>
          <w:i/>
          <w:iCs/>
        </w:rPr>
        <w:t>Journal of Periodontology</w:t>
      </w:r>
      <w:r>
        <w:rPr>
          <w:rFonts w:ascii="Times New Roman"/>
        </w:rPr>
        <w:t xml:space="preserve"> </w:t>
      </w:r>
      <w:r>
        <w:rPr>
          <w:rFonts w:ascii="Times New Roman"/>
          <w:b/>
          <w:bCs/>
        </w:rPr>
        <w:t>49,</w:t>
      </w:r>
      <w:r>
        <w:rPr>
          <w:rFonts w:ascii="Times New Roman"/>
        </w:rPr>
        <w:t xml:space="preserve"> 238-244. </w:t>
      </w:r>
      <w:bookmarkEnd w:id="34"/>
    </w:p>
    <w:p w:rsidR="002B2028" w:rsidRDefault="00A45ADA">
      <w:pPr>
        <w:pStyle w:val="Body"/>
        <w:ind w:left="720" w:hanging="720"/>
        <w:jc w:val="both"/>
      </w:pPr>
      <w:bookmarkStart w:id="35" w:name="_ENREF_35"/>
      <w:proofErr w:type="spellStart"/>
      <w:r>
        <w:rPr>
          <w:rFonts w:ascii="Times New Roman"/>
        </w:rPr>
        <w:t>Salvi</w:t>
      </w:r>
      <w:proofErr w:type="spellEnd"/>
      <w:r>
        <w:rPr>
          <w:rFonts w:ascii="Times New Roman"/>
        </w:rPr>
        <w:t xml:space="preserve">, G. E., </w:t>
      </w:r>
      <w:proofErr w:type="spellStart"/>
      <w:r>
        <w:rPr>
          <w:rFonts w:ascii="Times New Roman"/>
        </w:rPr>
        <w:t>Mischler</w:t>
      </w:r>
      <w:proofErr w:type="spellEnd"/>
      <w:r>
        <w:rPr>
          <w:rFonts w:ascii="Times New Roman"/>
        </w:rPr>
        <w:t xml:space="preserve">, D. C., </w:t>
      </w:r>
      <w:proofErr w:type="spellStart"/>
      <w:r>
        <w:rPr>
          <w:rFonts w:ascii="Times New Roman"/>
        </w:rPr>
        <w:t>Schmidlin</w:t>
      </w:r>
      <w:proofErr w:type="spellEnd"/>
      <w:r>
        <w:rPr>
          <w:rFonts w:ascii="Times New Roman"/>
        </w:rPr>
        <w:t xml:space="preserve">, K., </w:t>
      </w:r>
      <w:proofErr w:type="spellStart"/>
      <w:r>
        <w:rPr>
          <w:rFonts w:ascii="Times New Roman"/>
        </w:rPr>
        <w:t>Matuliene</w:t>
      </w:r>
      <w:proofErr w:type="spellEnd"/>
      <w:r>
        <w:rPr>
          <w:rFonts w:ascii="Times New Roman"/>
        </w:rPr>
        <w:t xml:space="preserve">, G., </w:t>
      </w:r>
      <w:proofErr w:type="spellStart"/>
      <w:r>
        <w:rPr>
          <w:rFonts w:ascii="Times New Roman"/>
        </w:rPr>
        <w:t>Pjetursson</w:t>
      </w:r>
      <w:proofErr w:type="spellEnd"/>
      <w:r>
        <w:rPr>
          <w:rFonts w:ascii="Times New Roman"/>
        </w:rPr>
        <w:t xml:space="preserve">, B. E., Bragger, U. &amp; Lang, N. P. (2014) Risk factors associated with the longevity of multi-rooted teeth. Long-term outcomes after active and supportive periodontal therapy. </w:t>
      </w:r>
      <w:r>
        <w:rPr>
          <w:rFonts w:ascii="Times New Roman"/>
          <w:i/>
          <w:iCs/>
        </w:rPr>
        <w:t>Journal of Clinical Periodontology</w:t>
      </w:r>
      <w:r>
        <w:rPr>
          <w:rFonts w:ascii="Times New Roman"/>
        </w:rPr>
        <w:t xml:space="preserve"> </w:t>
      </w:r>
      <w:r>
        <w:rPr>
          <w:rFonts w:ascii="Times New Roman"/>
          <w:b/>
          <w:bCs/>
        </w:rPr>
        <w:t>41,</w:t>
      </w:r>
      <w:r>
        <w:rPr>
          <w:rFonts w:ascii="Times New Roman"/>
        </w:rPr>
        <w:t xml:space="preserve"> 701-707. </w:t>
      </w:r>
      <w:bookmarkEnd w:id="35"/>
    </w:p>
    <w:p w:rsidR="002B2028" w:rsidRDefault="002B2028">
      <w:pPr>
        <w:pStyle w:val="Body"/>
        <w:ind w:left="720" w:hanging="720"/>
        <w:jc w:val="both"/>
        <w:rPr>
          <w:rFonts w:ascii="Times New Roman" w:eastAsia="Times New Roman" w:hAnsi="Times New Roman" w:cs="Times New Roman"/>
        </w:rPr>
      </w:pPr>
    </w:p>
    <w:p w:rsidR="002B2028" w:rsidRDefault="00A45ADA">
      <w:pPr>
        <w:pStyle w:val="Body"/>
        <w:ind w:left="720" w:hanging="720"/>
        <w:jc w:val="both"/>
      </w:pPr>
      <w:bookmarkStart w:id="36" w:name="_ENREF_37"/>
      <w:proofErr w:type="spellStart"/>
      <w:r>
        <w:rPr>
          <w:rFonts w:ascii="Times New Roman"/>
        </w:rPr>
        <w:t>Schwendicke</w:t>
      </w:r>
      <w:proofErr w:type="spellEnd"/>
      <w:r>
        <w:rPr>
          <w:rFonts w:ascii="Times New Roman"/>
        </w:rPr>
        <w:t xml:space="preserve">, F., </w:t>
      </w:r>
      <w:proofErr w:type="spellStart"/>
      <w:r>
        <w:rPr>
          <w:rFonts w:ascii="Times New Roman"/>
        </w:rPr>
        <w:t>Graetz</w:t>
      </w:r>
      <w:proofErr w:type="spellEnd"/>
      <w:r>
        <w:rPr>
          <w:rFonts w:ascii="Times New Roman"/>
        </w:rPr>
        <w:t xml:space="preserve">, C., </w:t>
      </w:r>
      <w:proofErr w:type="spellStart"/>
      <w:r>
        <w:rPr>
          <w:rFonts w:ascii="Times New Roman"/>
        </w:rPr>
        <w:t>Stolpe</w:t>
      </w:r>
      <w:proofErr w:type="spellEnd"/>
      <w:r>
        <w:rPr>
          <w:rFonts w:ascii="Times New Roman"/>
        </w:rPr>
        <w:t xml:space="preserve">, M. &amp; </w:t>
      </w:r>
      <w:proofErr w:type="spellStart"/>
      <w:r>
        <w:rPr>
          <w:rFonts w:ascii="Times New Roman"/>
        </w:rPr>
        <w:t>Dorfer</w:t>
      </w:r>
      <w:proofErr w:type="spellEnd"/>
      <w:r>
        <w:rPr>
          <w:rFonts w:ascii="Times New Roman"/>
        </w:rPr>
        <w:t xml:space="preserve">, C. E. (2014) Retaining or replacing molars with furcation involvement: a cost-effectiveness comparison of different strategies. </w:t>
      </w:r>
      <w:r>
        <w:rPr>
          <w:rFonts w:ascii="Times New Roman"/>
          <w:i/>
          <w:iCs/>
        </w:rPr>
        <w:t>Journal of Clinical Periodontology</w:t>
      </w:r>
      <w:r>
        <w:rPr>
          <w:rFonts w:ascii="Times New Roman"/>
        </w:rPr>
        <w:t xml:space="preserve"> </w:t>
      </w:r>
      <w:r>
        <w:rPr>
          <w:rFonts w:ascii="Times New Roman"/>
          <w:b/>
          <w:bCs/>
        </w:rPr>
        <w:t>41,</w:t>
      </w:r>
      <w:r>
        <w:rPr>
          <w:rFonts w:ascii="Times New Roman"/>
        </w:rPr>
        <w:t xml:space="preserve"> 1090-1097. </w:t>
      </w:r>
      <w:bookmarkEnd w:id="36"/>
    </w:p>
    <w:p w:rsidR="002B2028" w:rsidRDefault="00A45ADA">
      <w:pPr>
        <w:pStyle w:val="Body"/>
        <w:ind w:left="720" w:hanging="720"/>
        <w:jc w:val="both"/>
      </w:pPr>
      <w:bookmarkStart w:id="37" w:name="_ENREF_38"/>
      <w:proofErr w:type="spellStart"/>
      <w:r>
        <w:rPr>
          <w:rFonts w:ascii="Times New Roman"/>
        </w:rPr>
        <w:t>Svardstrom</w:t>
      </w:r>
      <w:proofErr w:type="spellEnd"/>
      <w:r>
        <w:rPr>
          <w:rFonts w:ascii="Times New Roman"/>
        </w:rPr>
        <w:t xml:space="preserve">, G. &amp; </w:t>
      </w:r>
      <w:proofErr w:type="spellStart"/>
      <w:r>
        <w:rPr>
          <w:rFonts w:ascii="Times New Roman"/>
        </w:rPr>
        <w:t>Wennstrom</w:t>
      </w:r>
      <w:proofErr w:type="spellEnd"/>
      <w:r>
        <w:rPr>
          <w:rFonts w:ascii="Times New Roman"/>
        </w:rPr>
        <w:t xml:space="preserve">, J. L. (1996) Prevalence of furcation involvements in patients referred for periodontal treatment. </w:t>
      </w:r>
      <w:r>
        <w:rPr>
          <w:rFonts w:ascii="Times New Roman"/>
          <w:i/>
          <w:iCs/>
        </w:rPr>
        <w:t>Journal of Clinical Periodontology</w:t>
      </w:r>
      <w:r>
        <w:rPr>
          <w:rFonts w:ascii="Times New Roman"/>
        </w:rPr>
        <w:t xml:space="preserve"> </w:t>
      </w:r>
      <w:r>
        <w:rPr>
          <w:rFonts w:ascii="Times New Roman"/>
          <w:b/>
          <w:bCs/>
        </w:rPr>
        <w:t>23,</w:t>
      </w:r>
      <w:r>
        <w:rPr>
          <w:rFonts w:ascii="Times New Roman"/>
        </w:rPr>
        <w:t xml:space="preserve"> 1093-1099.</w:t>
      </w:r>
      <w:bookmarkEnd w:id="37"/>
    </w:p>
    <w:p w:rsidR="002B2028" w:rsidRDefault="00A45ADA">
      <w:pPr>
        <w:pStyle w:val="Body"/>
        <w:ind w:left="720" w:hanging="720"/>
        <w:jc w:val="both"/>
      </w:pPr>
      <w:bookmarkStart w:id="38" w:name="_ENREF_39"/>
      <w:r>
        <w:rPr>
          <w:rFonts w:ascii="Times New Roman"/>
        </w:rPr>
        <w:lastRenderedPageBreak/>
        <w:t xml:space="preserve">Wang, H. L., </w:t>
      </w:r>
      <w:proofErr w:type="spellStart"/>
      <w:r>
        <w:rPr>
          <w:rFonts w:ascii="Times New Roman"/>
        </w:rPr>
        <w:t>Burgett</w:t>
      </w:r>
      <w:proofErr w:type="spellEnd"/>
      <w:r>
        <w:rPr>
          <w:rFonts w:ascii="Times New Roman"/>
        </w:rPr>
        <w:t xml:space="preserve">, F. G., </w:t>
      </w:r>
      <w:proofErr w:type="spellStart"/>
      <w:r>
        <w:rPr>
          <w:rFonts w:ascii="Times New Roman"/>
        </w:rPr>
        <w:t>Shyr</w:t>
      </w:r>
      <w:proofErr w:type="spellEnd"/>
      <w:r>
        <w:rPr>
          <w:rFonts w:ascii="Times New Roman"/>
        </w:rPr>
        <w:t xml:space="preserve">, Y. &amp; </w:t>
      </w:r>
      <w:proofErr w:type="spellStart"/>
      <w:r>
        <w:rPr>
          <w:rFonts w:ascii="Times New Roman"/>
        </w:rPr>
        <w:t>Ramfjord</w:t>
      </w:r>
      <w:proofErr w:type="spellEnd"/>
      <w:r>
        <w:rPr>
          <w:rFonts w:ascii="Times New Roman"/>
        </w:rPr>
        <w:t xml:space="preserve">, S. (1994) </w:t>
      </w:r>
      <w:proofErr w:type="gramStart"/>
      <w:r>
        <w:rPr>
          <w:rFonts w:ascii="Times New Roman"/>
        </w:rPr>
        <w:t>The</w:t>
      </w:r>
      <w:proofErr w:type="gramEnd"/>
      <w:r>
        <w:rPr>
          <w:rFonts w:ascii="Times New Roman"/>
        </w:rPr>
        <w:t xml:space="preserve"> influence of molar furcation involvement and mobility on future clinical periodontal attachment loss. </w:t>
      </w:r>
      <w:r>
        <w:rPr>
          <w:rFonts w:ascii="Times New Roman"/>
          <w:i/>
          <w:iCs/>
        </w:rPr>
        <w:t>Journal of Periodontology</w:t>
      </w:r>
      <w:r>
        <w:rPr>
          <w:rFonts w:ascii="Times New Roman"/>
        </w:rPr>
        <w:t xml:space="preserve"> </w:t>
      </w:r>
      <w:r>
        <w:rPr>
          <w:rFonts w:ascii="Times New Roman"/>
          <w:b/>
          <w:bCs/>
        </w:rPr>
        <w:t>65,</w:t>
      </w:r>
      <w:r>
        <w:rPr>
          <w:rFonts w:ascii="Times New Roman"/>
        </w:rPr>
        <w:t xml:space="preserve"> 25-29. </w:t>
      </w:r>
      <w:bookmarkEnd w:id="38"/>
    </w:p>
    <w:p w:rsidR="002B2028" w:rsidRDefault="00A45ADA">
      <w:pPr>
        <w:pStyle w:val="Body"/>
        <w:ind w:left="720" w:hanging="720"/>
        <w:jc w:val="both"/>
      </w:pPr>
      <w:bookmarkStart w:id="39" w:name="_ENREF_40"/>
      <w:r>
        <w:rPr>
          <w:rFonts w:ascii="Times New Roman"/>
        </w:rPr>
        <w:t xml:space="preserve">Wood, W. R., Greco, G. W. &amp; </w:t>
      </w:r>
      <w:proofErr w:type="spellStart"/>
      <w:r>
        <w:rPr>
          <w:rFonts w:ascii="Times New Roman"/>
        </w:rPr>
        <w:t>McFall</w:t>
      </w:r>
      <w:proofErr w:type="spellEnd"/>
      <w:r>
        <w:rPr>
          <w:rFonts w:ascii="Times New Roman"/>
        </w:rPr>
        <w:t xml:space="preserve">, W. T., Jr. (1989) Tooth loss in patients with moderate periodontitis after treatment and long-term maintenance care. </w:t>
      </w:r>
      <w:r>
        <w:rPr>
          <w:rFonts w:ascii="Times New Roman"/>
          <w:i/>
          <w:iCs/>
        </w:rPr>
        <w:t>Journal of Periodontology</w:t>
      </w:r>
      <w:r>
        <w:rPr>
          <w:rFonts w:ascii="Times New Roman"/>
        </w:rPr>
        <w:t xml:space="preserve"> </w:t>
      </w:r>
      <w:r>
        <w:rPr>
          <w:rFonts w:ascii="Times New Roman"/>
          <w:b/>
          <w:bCs/>
        </w:rPr>
        <w:t>60,</w:t>
      </w:r>
      <w:r>
        <w:rPr>
          <w:rFonts w:ascii="Times New Roman"/>
        </w:rPr>
        <w:t xml:space="preserve"> 516-520. </w:t>
      </w:r>
      <w:bookmarkEnd w:id="39"/>
    </w:p>
    <w:p w:rsidR="002B2028" w:rsidRDefault="00A45ADA">
      <w:pPr>
        <w:pStyle w:val="Body"/>
        <w:ind w:left="720" w:hanging="720"/>
        <w:jc w:val="both"/>
      </w:pPr>
      <w:bookmarkStart w:id="40" w:name="_ENREF_41"/>
      <w:proofErr w:type="spellStart"/>
      <w:r>
        <w:rPr>
          <w:rFonts w:ascii="Times New Roman"/>
        </w:rPr>
        <w:t>Yukna</w:t>
      </w:r>
      <w:proofErr w:type="spellEnd"/>
      <w:r>
        <w:rPr>
          <w:rFonts w:ascii="Times New Roman"/>
        </w:rPr>
        <w:t xml:space="preserve">, R. A. &amp; </w:t>
      </w:r>
      <w:proofErr w:type="spellStart"/>
      <w:r>
        <w:rPr>
          <w:rFonts w:ascii="Times New Roman"/>
        </w:rPr>
        <w:t>Yukna</w:t>
      </w:r>
      <w:proofErr w:type="spellEnd"/>
      <w:r>
        <w:rPr>
          <w:rFonts w:ascii="Times New Roman"/>
        </w:rPr>
        <w:t xml:space="preserve">, C. N. (1997) Six-year clinical evaluation of HTR synthetic bone grafts in human grade II molar furcations. </w:t>
      </w:r>
      <w:r>
        <w:rPr>
          <w:rFonts w:ascii="Times New Roman"/>
          <w:i/>
          <w:iCs/>
        </w:rPr>
        <w:t>Journal of Periodontal Research</w:t>
      </w:r>
      <w:r>
        <w:rPr>
          <w:rFonts w:ascii="Times New Roman"/>
        </w:rPr>
        <w:t xml:space="preserve"> </w:t>
      </w:r>
      <w:r>
        <w:rPr>
          <w:rFonts w:ascii="Times New Roman"/>
          <w:b/>
          <w:bCs/>
        </w:rPr>
        <w:t>32,</w:t>
      </w:r>
      <w:r>
        <w:rPr>
          <w:rFonts w:ascii="Times New Roman"/>
        </w:rPr>
        <w:t xml:space="preserve"> 627-633.</w:t>
      </w:r>
      <w:bookmarkEnd w:id="40"/>
    </w:p>
    <w:p w:rsidR="002B2028" w:rsidRDefault="00A45ADA">
      <w:pPr>
        <w:pStyle w:val="Body"/>
        <w:ind w:left="720" w:hanging="720"/>
        <w:jc w:val="both"/>
      </w:pPr>
      <w:proofErr w:type="spellStart"/>
      <w:r>
        <w:rPr>
          <w:rFonts w:ascii="Times New Roman"/>
        </w:rPr>
        <w:t>Zafiropoulos</w:t>
      </w:r>
      <w:proofErr w:type="spellEnd"/>
      <w:r>
        <w:rPr>
          <w:rFonts w:ascii="Times New Roman"/>
        </w:rPr>
        <w:t xml:space="preserve">, G. G., Hoffmann, O., </w:t>
      </w:r>
      <w:proofErr w:type="spellStart"/>
      <w:r>
        <w:rPr>
          <w:rFonts w:ascii="Times New Roman"/>
        </w:rPr>
        <w:t>Kasaj</w:t>
      </w:r>
      <w:proofErr w:type="spellEnd"/>
      <w:r>
        <w:rPr>
          <w:rFonts w:ascii="Times New Roman"/>
        </w:rPr>
        <w:t xml:space="preserve">, A., </w:t>
      </w:r>
      <w:proofErr w:type="spellStart"/>
      <w:r>
        <w:rPr>
          <w:rFonts w:ascii="Times New Roman"/>
        </w:rPr>
        <w:t>Willershausen</w:t>
      </w:r>
      <w:proofErr w:type="spellEnd"/>
      <w:r>
        <w:rPr>
          <w:rFonts w:ascii="Times New Roman"/>
        </w:rPr>
        <w:t xml:space="preserve">, B., Deli, G. &amp; </w:t>
      </w:r>
      <w:proofErr w:type="spellStart"/>
      <w:r>
        <w:rPr>
          <w:rFonts w:ascii="Times New Roman"/>
        </w:rPr>
        <w:t>Tatakis</w:t>
      </w:r>
      <w:proofErr w:type="spellEnd"/>
      <w:r>
        <w:rPr>
          <w:rFonts w:ascii="Times New Roman"/>
        </w:rPr>
        <w:t xml:space="preserve">, D. N. (2009) Mandibular molar root resection versus implant therapy: a retrospective nonrandomized study. </w:t>
      </w:r>
      <w:r>
        <w:rPr>
          <w:rFonts w:ascii="Times New Roman"/>
          <w:i/>
          <w:iCs/>
        </w:rPr>
        <w:t xml:space="preserve">Journal of Oral </w:t>
      </w:r>
      <w:proofErr w:type="spellStart"/>
      <w:r>
        <w:rPr>
          <w:rFonts w:ascii="Times New Roman"/>
          <w:i/>
          <w:iCs/>
        </w:rPr>
        <w:t>Implantology</w:t>
      </w:r>
      <w:proofErr w:type="spellEnd"/>
      <w:r>
        <w:rPr>
          <w:rFonts w:ascii="Times New Roman"/>
        </w:rPr>
        <w:t xml:space="preserve"> </w:t>
      </w:r>
      <w:bookmarkStart w:id="41" w:name="_ENREF_42"/>
      <w:r>
        <w:rPr>
          <w:rFonts w:ascii="Times New Roman"/>
          <w:b/>
          <w:bCs/>
        </w:rPr>
        <w:t>35,</w:t>
      </w:r>
      <w:r>
        <w:rPr>
          <w:rFonts w:ascii="Times New Roman"/>
        </w:rPr>
        <w:t xml:space="preserve"> 52-62.</w:t>
      </w:r>
      <w:bookmarkEnd w:id="41"/>
    </w:p>
    <w:p w:rsidR="002B2028" w:rsidRDefault="002B2028">
      <w:pPr>
        <w:pStyle w:val="Body"/>
        <w:ind w:left="720" w:hanging="720"/>
        <w:jc w:val="both"/>
        <w:rPr>
          <w:rFonts w:ascii="Times New Roman" w:eastAsia="Times New Roman" w:hAnsi="Times New Roman" w:cs="Times New Roman"/>
        </w:rPr>
      </w:pPr>
    </w:p>
    <w:p w:rsidR="002B2028" w:rsidRDefault="002B2028">
      <w:pPr>
        <w:pStyle w:val="Body"/>
        <w:ind w:left="720" w:hanging="720"/>
        <w:jc w:val="both"/>
        <w:rPr>
          <w:rFonts w:ascii="Times New Roman" w:eastAsia="Times New Roman" w:hAnsi="Times New Roman" w:cs="Times New Roman"/>
        </w:rPr>
      </w:pPr>
    </w:p>
    <w:p w:rsidR="002B2028" w:rsidRDefault="002B2028">
      <w:pPr>
        <w:pStyle w:val="Body"/>
        <w:ind w:left="720" w:hanging="720"/>
        <w:jc w:val="both"/>
        <w:rPr>
          <w:rFonts w:ascii="Times New Roman" w:eastAsia="Times New Roman" w:hAnsi="Times New Roman" w:cs="Times New Roman"/>
        </w:rPr>
      </w:pPr>
    </w:p>
    <w:p w:rsidR="002B2028" w:rsidRDefault="002B2028">
      <w:pPr>
        <w:pStyle w:val="Body"/>
        <w:ind w:left="720" w:hanging="720"/>
        <w:jc w:val="both"/>
        <w:rPr>
          <w:rFonts w:ascii="Times New Roman" w:eastAsia="Times New Roman" w:hAnsi="Times New Roman" w:cs="Times New Roman"/>
        </w:rPr>
      </w:pPr>
    </w:p>
    <w:p w:rsidR="002B2028" w:rsidRDefault="00A45ADA">
      <w:pPr>
        <w:pStyle w:val="Body"/>
        <w:tabs>
          <w:tab w:val="left" w:pos="1170"/>
        </w:tabs>
        <w:outlineLvl w:val="0"/>
        <w:rPr>
          <w:b/>
          <w:bCs/>
          <w:sz w:val="22"/>
          <w:szCs w:val="22"/>
        </w:rPr>
      </w:pPr>
      <w:r>
        <w:rPr>
          <w:rFonts w:ascii="Times New Roman"/>
          <w:b/>
          <w:bCs/>
          <w:sz w:val="22"/>
          <w:szCs w:val="22"/>
          <w:lang w:val="de-DE"/>
        </w:rPr>
        <w:t>TABLE LEGENDS</w:t>
      </w:r>
    </w:p>
    <w:p w:rsidR="002B2028" w:rsidRPr="0066417E" w:rsidRDefault="00A45ADA">
      <w:pPr>
        <w:pStyle w:val="Body"/>
        <w:jc w:val="both"/>
        <w:rPr>
          <w:rFonts w:ascii="Times New Roman" w:hAnsi="Times New Roman" w:cs="Times New Roman"/>
        </w:rPr>
      </w:pPr>
      <w:r w:rsidRPr="0066417E">
        <w:rPr>
          <w:rFonts w:ascii="Times New Roman" w:hAnsi="Times New Roman" w:cs="Times New Roman"/>
          <w:b/>
          <w:bCs/>
        </w:rPr>
        <w:t>Table 1</w:t>
      </w:r>
      <w:r w:rsidRPr="0066417E">
        <w:rPr>
          <w:rFonts w:ascii="Times New Roman" w:hAnsi="Times New Roman" w:cs="Times New Roman"/>
        </w:rPr>
        <w:t>: Summary of study procedures for all included studies (SRP= scaling and root planning; APT = active periodontal treatment; SPT= supportive periodontal therapy; PPD= probing pocket depth; al= attachment loss: OHI= oral hygiene instructions; OFD = Open Flap Debridement; CP= Chronic Periodontitis; AgP= Aggressive Periodontitis).</w:t>
      </w:r>
    </w:p>
    <w:p w:rsidR="002B2028" w:rsidRPr="0066417E" w:rsidRDefault="00A45ADA">
      <w:pPr>
        <w:pStyle w:val="Body"/>
        <w:jc w:val="both"/>
        <w:rPr>
          <w:rFonts w:ascii="Times New Roman" w:hAnsi="Times New Roman" w:cs="Times New Roman"/>
        </w:rPr>
      </w:pPr>
      <w:r w:rsidRPr="0066417E">
        <w:rPr>
          <w:rFonts w:ascii="Times New Roman" w:hAnsi="Times New Roman" w:cs="Times New Roman"/>
          <w:b/>
          <w:bCs/>
        </w:rPr>
        <w:t>Table 2</w:t>
      </w:r>
      <w:r w:rsidRPr="0066417E">
        <w:rPr>
          <w:rFonts w:ascii="Times New Roman" w:hAnsi="Times New Roman" w:cs="Times New Roman"/>
        </w:rPr>
        <w:t>: Summary of study characteristics for included studies (SRP= scaling and root planning; APT = active periodontal treatment; SPT= supportive periodontal therapy; AB= antibiotic; PPD= probing pocket depth; OHI= oral hygiene instructions; OFD = Open Flap Debridement)</w:t>
      </w:r>
    </w:p>
    <w:p w:rsidR="0066417E" w:rsidRPr="0066417E" w:rsidRDefault="0066417E" w:rsidP="0066417E">
      <w:pPr>
        <w:pStyle w:val="Body"/>
        <w:spacing w:line="360" w:lineRule="auto"/>
        <w:rPr>
          <w:rFonts w:ascii="Times New Roman" w:hAnsi="Times New Roman" w:cs="Times New Roman"/>
        </w:rPr>
      </w:pPr>
      <w:r w:rsidRPr="0066417E">
        <w:rPr>
          <w:rFonts w:ascii="Times New Roman" w:hAnsi="Times New Roman" w:cs="Times New Roman"/>
          <w:b/>
          <w:bCs/>
        </w:rPr>
        <w:t>Table 3.</w:t>
      </w:r>
      <w:r w:rsidRPr="0066417E">
        <w:rPr>
          <w:rFonts w:ascii="Times New Roman" w:hAnsi="Times New Roman" w:cs="Times New Roman"/>
        </w:rPr>
        <w:t xml:space="preserve"> Quality assessment of included studies.</w:t>
      </w:r>
    </w:p>
    <w:p w:rsidR="0066417E" w:rsidRDefault="0066417E">
      <w:pPr>
        <w:pStyle w:val="Body"/>
        <w:jc w:val="both"/>
        <w:rPr>
          <w:sz w:val="22"/>
          <w:szCs w:val="22"/>
        </w:rPr>
      </w:pPr>
    </w:p>
    <w:p w:rsidR="002B2028" w:rsidRDefault="002B2028">
      <w:pPr>
        <w:pStyle w:val="Body"/>
        <w:tabs>
          <w:tab w:val="left" w:pos="1170"/>
        </w:tabs>
        <w:outlineLvl w:val="0"/>
        <w:rPr>
          <w:rFonts w:ascii="Times New Roman" w:eastAsia="Times New Roman" w:hAnsi="Times New Roman" w:cs="Times New Roman"/>
          <w:b/>
          <w:bCs/>
          <w:sz w:val="22"/>
          <w:szCs w:val="22"/>
        </w:rPr>
      </w:pPr>
    </w:p>
    <w:p w:rsidR="002B2028" w:rsidRDefault="00A45ADA">
      <w:pPr>
        <w:pStyle w:val="Body"/>
        <w:tabs>
          <w:tab w:val="left" w:pos="1170"/>
        </w:tabs>
        <w:outlineLvl w:val="0"/>
        <w:rPr>
          <w:sz w:val="22"/>
          <w:szCs w:val="22"/>
        </w:rPr>
      </w:pPr>
      <w:r>
        <w:rPr>
          <w:rFonts w:ascii="Times New Roman"/>
          <w:b/>
          <w:bCs/>
          <w:sz w:val="22"/>
          <w:szCs w:val="22"/>
          <w:lang w:val="de-DE"/>
        </w:rPr>
        <w:t>FIGURE LEGENDS</w:t>
      </w:r>
    </w:p>
    <w:p w:rsidR="002B2028" w:rsidRDefault="00A45ADA">
      <w:pPr>
        <w:pStyle w:val="Body"/>
        <w:jc w:val="both"/>
        <w:rPr>
          <w:sz w:val="22"/>
          <w:szCs w:val="22"/>
        </w:rPr>
      </w:pPr>
      <w:r>
        <w:rPr>
          <w:rFonts w:ascii="Times New Roman"/>
          <w:b/>
          <w:bCs/>
          <w:sz w:val="22"/>
          <w:szCs w:val="22"/>
        </w:rPr>
        <w:t xml:space="preserve">Figure 1. </w:t>
      </w:r>
      <w:r>
        <w:rPr>
          <w:rFonts w:ascii="Times New Roman"/>
          <w:sz w:val="22"/>
          <w:szCs w:val="22"/>
        </w:rPr>
        <w:t>Flowchart of study inclusion</w:t>
      </w:r>
    </w:p>
    <w:p w:rsidR="002B2028" w:rsidRDefault="00A45ADA">
      <w:pPr>
        <w:pStyle w:val="Body"/>
        <w:jc w:val="both"/>
        <w:rPr>
          <w:sz w:val="22"/>
          <w:szCs w:val="22"/>
        </w:rPr>
      </w:pPr>
      <w:r>
        <w:rPr>
          <w:rFonts w:ascii="Times New Roman"/>
          <w:b/>
          <w:bCs/>
          <w:sz w:val="22"/>
          <w:szCs w:val="22"/>
        </w:rPr>
        <w:t xml:space="preserve">Figure 2. </w:t>
      </w:r>
      <w:r>
        <w:rPr>
          <w:rFonts w:ascii="Times New Roman"/>
          <w:sz w:val="22"/>
          <w:szCs w:val="22"/>
        </w:rPr>
        <w:t>Forest plot presenting odds ratio of tooth loss based on follow-up periods (3rd molars included).  Meta-analysis for the comparison of tooth loss among selected studies presented an overall odds ratio of 3.14 (95% CI= 2.13 to 4.62, p&lt; 0.0001). For studies with a follow-up period of 5-10 years, 10-15 years, and &gt;15 years, the odds ratio of tooth loss between teeth with and without furcation involvement was 1.79 (95% CI= 1.14 to 2.82, p= 0.01), 2.41 (95% CI= 1.93 to 3.01, p&lt; 0.0001), and 5.79 (95% CI= 3.13 to 10.68, p&lt; 0.0001), respectively.</w:t>
      </w:r>
    </w:p>
    <w:p w:rsidR="002B2028" w:rsidRDefault="00A45ADA">
      <w:pPr>
        <w:pStyle w:val="Body"/>
        <w:jc w:val="both"/>
        <w:rPr>
          <w:sz w:val="22"/>
          <w:szCs w:val="22"/>
        </w:rPr>
      </w:pPr>
      <w:r>
        <w:rPr>
          <w:rFonts w:ascii="Times New Roman"/>
          <w:b/>
          <w:bCs/>
          <w:sz w:val="22"/>
          <w:szCs w:val="22"/>
        </w:rPr>
        <w:t xml:space="preserve">Figure 3. </w:t>
      </w:r>
      <w:r>
        <w:rPr>
          <w:rFonts w:ascii="Times New Roman"/>
          <w:sz w:val="22"/>
          <w:szCs w:val="22"/>
        </w:rPr>
        <w:t>Forest plot presenting odds ratio of tooth loss based on follow-up periods (3rd molars excluded).  Meta-analysis for the comparison of tooth loss among selected studies presented an overall odds ratio of 3.76 (95% CI= 2.37 to 5.96, p&lt; 0.0001). For studies with a follow-up period of 5-10 years, 10-15 years, and &gt;15 years, the odds ratio of tooth loss between teeth with and without furcation involvement was 1.53 (95% CI= 0.99 to 2.35, p= 0.05), 2.71 (95% CI= 2.08 to 3.54, p&lt; 0.0001), and 6.67 (95% CI= 3.43 to 12.98, p&lt; 0.0001), respectively.</w:t>
      </w:r>
    </w:p>
    <w:p w:rsidR="002B2028" w:rsidRDefault="00A45ADA">
      <w:pPr>
        <w:pStyle w:val="Body"/>
        <w:jc w:val="both"/>
        <w:rPr>
          <w:sz w:val="22"/>
          <w:szCs w:val="22"/>
        </w:rPr>
      </w:pPr>
      <w:r>
        <w:rPr>
          <w:rFonts w:ascii="Times New Roman"/>
          <w:b/>
          <w:bCs/>
          <w:sz w:val="22"/>
          <w:szCs w:val="22"/>
        </w:rPr>
        <w:t xml:space="preserve">Figure 4. </w:t>
      </w:r>
      <w:r>
        <w:rPr>
          <w:rFonts w:ascii="Times New Roman"/>
          <w:sz w:val="22"/>
          <w:szCs w:val="22"/>
        </w:rPr>
        <w:t>Forest plot presenting odds ratio of tooth loss based on degrees of furcation involvement (3</w:t>
      </w:r>
      <w:r>
        <w:rPr>
          <w:rFonts w:ascii="Times New Roman"/>
          <w:sz w:val="22"/>
          <w:szCs w:val="22"/>
          <w:vertAlign w:val="superscript"/>
        </w:rPr>
        <w:t>rd</w:t>
      </w:r>
      <w:r>
        <w:rPr>
          <w:rFonts w:ascii="Times New Roman"/>
          <w:sz w:val="22"/>
          <w:szCs w:val="22"/>
        </w:rPr>
        <w:t xml:space="preserve"> molars excluded). Meta-analysis for the comparison of tooth loss among selected studies presented an odds ratio of 1.86 (95% CI= 1.17 to 2.97), 2.41 (95% CI= 1.60 to 3.63) and 4.50 (95% CI= 3.15 to 6.42) with statistical significance (p= 0.009, p&lt; 0.0001 and p&lt; 0.0001) when compared Class II to Class I, Class III to Class II, and Class III to Class I furcation involvement, respectively.</w:t>
      </w:r>
    </w:p>
    <w:p w:rsidR="002B2028" w:rsidRDefault="002B2028">
      <w:pPr>
        <w:pStyle w:val="Body"/>
        <w:tabs>
          <w:tab w:val="left" w:pos="1170"/>
        </w:tabs>
        <w:rPr>
          <w:b/>
          <w:bCs/>
          <w:sz w:val="22"/>
          <w:szCs w:val="22"/>
        </w:rPr>
      </w:pPr>
    </w:p>
    <w:p w:rsidR="0066417E" w:rsidRDefault="0066417E">
      <w:pPr>
        <w:pStyle w:val="Body"/>
        <w:tabs>
          <w:tab w:val="left" w:pos="1170"/>
        </w:tabs>
        <w:rPr>
          <w:b/>
          <w:bCs/>
          <w:sz w:val="22"/>
          <w:szCs w:val="22"/>
        </w:rPr>
      </w:pPr>
    </w:p>
    <w:tbl>
      <w:tblPr>
        <w:tblW w:w="9214" w:type="dxa"/>
        <w:tblInd w:w="5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8"/>
        <w:gridCol w:w="1227"/>
        <w:gridCol w:w="850"/>
        <w:gridCol w:w="851"/>
        <w:gridCol w:w="850"/>
        <w:gridCol w:w="3436"/>
        <w:gridCol w:w="992"/>
      </w:tblGrid>
      <w:tr w:rsidR="002B2028">
        <w:trPr>
          <w:trHeight w:val="1112"/>
        </w:trPr>
        <w:tc>
          <w:tcPr>
            <w:tcW w:w="10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Times New Roman"/>
                <w:b/>
                <w:bCs/>
                <w:sz w:val="20"/>
                <w:szCs w:val="20"/>
              </w:rPr>
              <w:lastRenderedPageBreak/>
              <w:t>Author/ Year</w:t>
            </w:r>
          </w:p>
        </w:tc>
        <w:tc>
          <w:tcPr>
            <w:tcW w:w="12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Times New Roman"/>
                <w:b/>
                <w:bCs/>
                <w:sz w:val="20"/>
                <w:szCs w:val="20"/>
              </w:rPr>
              <w:t>Study design</w:t>
            </w:r>
          </w:p>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Times New Roman"/>
                <w:b/>
                <w:bCs/>
                <w:sz w:val="20"/>
                <w:szCs w:val="20"/>
              </w:rPr>
              <w:t>Sample n=</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Times New Roman"/>
                <w:b/>
                <w:bCs/>
                <w:sz w:val="20"/>
                <w:szCs w:val="20"/>
              </w:rPr>
              <w:t xml:space="preserve">Mean age </w:t>
            </w:r>
          </w:p>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Times New Roman"/>
                <w:b/>
                <w:bCs/>
                <w:sz w:val="20"/>
                <w:szCs w:val="20"/>
              </w:rPr>
              <w:t>Follow-up years (range)</w:t>
            </w:r>
          </w:p>
        </w:tc>
        <w:tc>
          <w:tcPr>
            <w:tcW w:w="343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Times New Roman"/>
                <w:b/>
                <w:bCs/>
                <w:sz w:val="20"/>
                <w:szCs w:val="20"/>
              </w:rPr>
              <w:t>Inclusion/ disease classification</w:t>
            </w:r>
          </w:p>
        </w:tc>
        <w:tc>
          <w:tcPr>
            <w:tcW w:w="9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Times New Roman"/>
                <w:b/>
                <w:bCs/>
                <w:sz w:val="20"/>
                <w:szCs w:val="20"/>
              </w:rPr>
              <w:t>Country</w:t>
            </w:r>
          </w:p>
        </w:tc>
      </w:tr>
      <w:tr w:rsidR="002B2028">
        <w:trPr>
          <w:trHeight w:val="563"/>
        </w:trPr>
        <w:tc>
          <w:tcPr>
            <w:tcW w:w="1008" w:type="dxa"/>
            <w:tcBorders>
              <w:top w:val="single" w:sz="4" w:space="0" w:color="000000"/>
              <w:left w:val="nil"/>
              <w:bottom w:val="nil"/>
              <w:right w:val="nil"/>
            </w:tcBorders>
            <w:shd w:val="clear" w:color="auto" w:fill="auto"/>
            <w:tcMar>
              <w:top w:w="80" w:type="dxa"/>
              <w:left w:w="80" w:type="dxa"/>
              <w:bottom w:w="80" w:type="dxa"/>
              <w:right w:w="80" w:type="dxa"/>
            </w:tcMar>
          </w:tcPr>
          <w:p w:rsidR="002B2028" w:rsidRDefault="00A45ADA">
            <w:pPr>
              <w:pStyle w:val="Body"/>
              <w:tabs>
                <w:tab w:val="left" w:pos="707"/>
              </w:tabs>
            </w:pPr>
            <w:proofErr w:type="spellStart"/>
            <w:r>
              <w:rPr>
                <w:rFonts w:ascii="Times New Roman"/>
                <w:sz w:val="16"/>
                <w:szCs w:val="16"/>
              </w:rPr>
              <w:t>Lindhe</w:t>
            </w:r>
            <w:proofErr w:type="spellEnd"/>
            <w:r>
              <w:rPr>
                <w:rFonts w:ascii="Times New Roman"/>
                <w:sz w:val="16"/>
                <w:szCs w:val="16"/>
              </w:rPr>
              <w:t xml:space="preserve"> &amp; Nyman (1975)</w:t>
            </w:r>
          </w:p>
        </w:tc>
        <w:tc>
          <w:tcPr>
            <w:tcW w:w="1227" w:type="dxa"/>
            <w:tcBorders>
              <w:top w:val="single" w:sz="4" w:space="0" w:color="000000"/>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Prospective cohort</w:t>
            </w:r>
          </w:p>
        </w:tc>
        <w:tc>
          <w:tcPr>
            <w:tcW w:w="850" w:type="dxa"/>
            <w:tcBorders>
              <w:top w:val="single" w:sz="4" w:space="0" w:color="000000"/>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75</w:t>
            </w:r>
          </w:p>
        </w:tc>
        <w:tc>
          <w:tcPr>
            <w:tcW w:w="851" w:type="dxa"/>
            <w:tcBorders>
              <w:top w:val="single" w:sz="4" w:space="0" w:color="000000"/>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Range 26-79</w:t>
            </w:r>
          </w:p>
        </w:tc>
        <w:tc>
          <w:tcPr>
            <w:tcW w:w="850" w:type="dxa"/>
            <w:tcBorders>
              <w:top w:val="single" w:sz="4" w:space="0" w:color="000000"/>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5</w:t>
            </w:r>
          </w:p>
        </w:tc>
        <w:tc>
          <w:tcPr>
            <w:tcW w:w="3436" w:type="dxa"/>
            <w:tcBorders>
              <w:top w:val="single" w:sz="4" w:space="0" w:color="000000"/>
              <w:left w:val="nil"/>
              <w:bottom w:val="nil"/>
              <w:right w:val="nil"/>
            </w:tcBorders>
            <w:shd w:val="clear" w:color="auto" w:fill="auto"/>
            <w:tcMar>
              <w:top w:w="80" w:type="dxa"/>
              <w:left w:w="80" w:type="dxa"/>
              <w:bottom w:w="80" w:type="dxa"/>
              <w:right w:w="80" w:type="dxa"/>
            </w:tcMar>
          </w:tcPr>
          <w:p w:rsidR="002B2028" w:rsidRDefault="00A45ADA">
            <w:pPr>
              <w:pStyle w:val="Body"/>
            </w:pPr>
            <w:r>
              <w:rPr>
                <w:rFonts w:hAnsi="Arial Unicode MS"/>
                <w:sz w:val="16"/>
                <w:szCs w:val="16"/>
              </w:rPr>
              <w:t>≥</w:t>
            </w:r>
            <w:r>
              <w:rPr>
                <w:sz w:val="16"/>
                <w:szCs w:val="16"/>
              </w:rPr>
              <w:t>50% loss of periodontal support and optimal oral hygiene</w:t>
            </w:r>
          </w:p>
        </w:tc>
        <w:tc>
          <w:tcPr>
            <w:tcW w:w="992" w:type="dxa"/>
            <w:tcBorders>
              <w:top w:val="single" w:sz="4" w:space="0" w:color="000000"/>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Sweden</w:t>
            </w:r>
          </w:p>
        </w:tc>
      </w:tr>
      <w:tr w:rsidR="002B2028">
        <w:trPr>
          <w:trHeight w:val="893"/>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tabs>
                <w:tab w:val="left" w:pos="707"/>
              </w:tabs>
            </w:pPr>
            <w:proofErr w:type="spellStart"/>
            <w:r>
              <w:rPr>
                <w:rFonts w:ascii="Times New Roman"/>
                <w:sz w:val="16"/>
                <w:szCs w:val="16"/>
              </w:rPr>
              <w:t>Hirschfeld</w:t>
            </w:r>
            <w:proofErr w:type="spellEnd"/>
            <w:r>
              <w:rPr>
                <w:rFonts w:ascii="Times New Roman"/>
                <w:sz w:val="16"/>
                <w:szCs w:val="16"/>
              </w:rPr>
              <w:t xml:space="preserve"> &amp; Wasserman (1978)</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Retrospective cohort </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600</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42</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22 (15-53)</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rFonts w:hAnsi="Arial Unicode MS"/>
                <w:sz w:val="16"/>
                <w:szCs w:val="16"/>
              </w:rPr>
              <w:t>‘</w:t>
            </w:r>
            <w:r>
              <w:rPr>
                <w:sz w:val="16"/>
                <w:szCs w:val="16"/>
              </w:rPr>
              <w:t>Early</w:t>
            </w:r>
            <w:r>
              <w:rPr>
                <w:rFonts w:hAnsi="Arial Unicode MS"/>
                <w:sz w:val="16"/>
                <w:szCs w:val="16"/>
              </w:rPr>
              <w:t>’</w:t>
            </w:r>
            <w:r>
              <w:rPr>
                <w:sz w:val="16"/>
                <w:szCs w:val="16"/>
              </w:rPr>
              <w:t xml:space="preserve">: PPD of 4 mm or less, with gingival inflammation and subgingival calculus; </w:t>
            </w:r>
            <w:r>
              <w:rPr>
                <w:rFonts w:hAnsi="Arial Unicode MS"/>
                <w:sz w:val="16"/>
                <w:szCs w:val="16"/>
              </w:rPr>
              <w:t>‘</w:t>
            </w:r>
            <w:r>
              <w:rPr>
                <w:sz w:val="16"/>
                <w:szCs w:val="16"/>
              </w:rPr>
              <w:t>Intermediate</w:t>
            </w:r>
            <w:r>
              <w:rPr>
                <w:rFonts w:hAnsi="Arial Unicode MS"/>
                <w:sz w:val="16"/>
                <w:szCs w:val="16"/>
              </w:rPr>
              <w:t>’</w:t>
            </w:r>
            <w:r>
              <w:rPr>
                <w:sz w:val="16"/>
                <w:szCs w:val="16"/>
              </w:rPr>
              <w:t xml:space="preserve">: PPD of 4 to 7 mm; </w:t>
            </w:r>
            <w:r>
              <w:rPr>
                <w:rFonts w:hAnsi="Arial Unicode MS"/>
                <w:sz w:val="16"/>
                <w:szCs w:val="16"/>
              </w:rPr>
              <w:t>‘</w:t>
            </w:r>
            <w:r>
              <w:rPr>
                <w:sz w:val="16"/>
                <w:szCs w:val="16"/>
              </w:rPr>
              <w:t>Advanced</w:t>
            </w:r>
            <w:r>
              <w:rPr>
                <w:rFonts w:hAnsi="Arial Unicode MS"/>
                <w:sz w:val="16"/>
                <w:szCs w:val="16"/>
              </w:rPr>
              <w:t>’</w:t>
            </w:r>
            <w:r>
              <w:rPr>
                <w:sz w:val="16"/>
                <w:szCs w:val="16"/>
              </w:rPr>
              <w:t xml:space="preserve">: PPD &gt;7 mm, furcation involvement </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U.S.</w:t>
            </w:r>
          </w:p>
        </w:tc>
      </w:tr>
      <w:tr w:rsidR="002B2028">
        <w:trPr>
          <w:trHeight w:val="627"/>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McFall</w:t>
            </w:r>
            <w:proofErr w:type="spellEnd"/>
            <w:r>
              <w:rPr>
                <w:sz w:val="16"/>
                <w:szCs w:val="16"/>
              </w:rPr>
              <w:t xml:space="preserve"> (1982)</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Retrospective cohort</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100</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44</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19 (15-29)</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rFonts w:hAnsi="Arial Unicode MS"/>
                <w:sz w:val="16"/>
                <w:szCs w:val="16"/>
              </w:rPr>
              <w:t>‘</w:t>
            </w:r>
            <w:r>
              <w:rPr>
                <w:sz w:val="16"/>
                <w:szCs w:val="16"/>
              </w:rPr>
              <w:t>Early</w:t>
            </w:r>
            <w:r>
              <w:rPr>
                <w:rFonts w:hAnsi="Arial Unicode MS"/>
                <w:sz w:val="16"/>
                <w:szCs w:val="16"/>
              </w:rPr>
              <w:t>’</w:t>
            </w:r>
            <w:r>
              <w:rPr>
                <w:sz w:val="16"/>
                <w:szCs w:val="16"/>
              </w:rPr>
              <w:t xml:space="preserve">: PPD </w:t>
            </w:r>
            <w:r>
              <w:rPr>
                <w:rFonts w:hAnsi="Arial Unicode MS"/>
                <w:sz w:val="16"/>
                <w:szCs w:val="16"/>
              </w:rPr>
              <w:t>≤</w:t>
            </w:r>
            <w:r>
              <w:rPr>
                <w:sz w:val="16"/>
                <w:szCs w:val="16"/>
              </w:rPr>
              <w:t xml:space="preserve">4mm (n=11); </w:t>
            </w:r>
            <w:r>
              <w:rPr>
                <w:rFonts w:hAnsi="Arial Unicode MS"/>
                <w:sz w:val="16"/>
                <w:szCs w:val="16"/>
              </w:rPr>
              <w:t>‘</w:t>
            </w:r>
            <w:r>
              <w:rPr>
                <w:sz w:val="16"/>
                <w:szCs w:val="16"/>
              </w:rPr>
              <w:t>intermediate</w:t>
            </w:r>
            <w:r>
              <w:rPr>
                <w:rFonts w:hAnsi="Arial Unicode MS"/>
                <w:sz w:val="16"/>
                <w:szCs w:val="16"/>
              </w:rPr>
              <w:t>’</w:t>
            </w:r>
            <w:r>
              <w:rPr>
                <w:sz w:val="16"/>
                <w:szCs w:val="16"/>
              </w:rPr>
              <w:t xml:space="preserve">: PPD 4-7mm (n=53); </w:t>
            </w:r>
            <w:r>
              <w:rPr>
                <w:rFonts w:hAnsi="Arial Unicode MS"/>
                <w:sz w:val="16"/>
                <w:szCs w:val="16"/>
              </w:rPr>
              <w:t>‘</w:t>
            </w:r>
            <w:proofErr w:type="spellStart"/>
            <w:r>
              <w:rPr>
                <w:sz w:val="16"/>
                <w:szCs w:val="16"/>
              </w:rPr>
              <w:t>advanced</w:t>
            </w:r>
            <w:r>
              <w:rPr>
                <w:rFonts w:hAnsi="Arial Unicode MS"/>
                <w:sz w:val="16"/>
                <w:szCs w:val="16"/>
              </w:rPr>
              <w:t>’</w:t>
            </w:r>
            <w:r>
              <w:rPr>
                <w:sz w:val="16"/>
                <w:szCs w:val="16"/>
              </w:rPr>
              <w:t>:PPD</w:t>
            </w:r>
            <w:proofErr w:type="spellEnd"/>
            <w:r>
              <w:rPr>
                <w:sz w:val="16"/>
                <w:szCs w:val="16"/>
              </w:rPr>
              <w:t xml:space="preserve"> &gt;7mm (n=36) </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U.S.                                          </w:t>
            </w:r>
          </w:p>
        </w:tc>
      </w:tr>
      <w:tr w:rsidR="002B2028">
        <w:trPr>
          <w:trHeight w:val="538"/>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Goldman et al. (1986)</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Retrospective cohort</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211</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42</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22.2 (15-34)</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Chronic periodontitis </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U.S.</w:t>
            </w:r>
          </w:p>
        </w:tc>
      </w:tr>
      <w:tr w:rsidR="002B2028">
        <w:trPr>
          <w:trHeight w:val="538"/>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Wood et al. (1989)</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Retrospective cohort</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63</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45</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13.6 (10-34)</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Patients with moderate periodontitis treated and maintained by SRP for 10 years or longer</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U.S.</w:t>
            </w:r>
          </w:p>
        </w:tc>
      </w:tr>
      <w:tr w:rsidR="002B2028">
        <w:trPr>
          <w:trHeight w:val="407"/>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Kuhrau</w:t>
            </w:r>
            <w:proofErr w:type="spellEnd"/>
            <w:r>
              <w:rPr>
                <w:sz w:val="16"/>
                <w:szCs w:val="16"/>
              </w:rPr>
              <w:t xml:space="preserve"> et al. (1990)</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Retrospective cohort</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59</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46</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5.8 (4-8)</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Patients with periodontitis with furcation-involved teeth treated surgically</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Germany                                              </w:t>
            </w:r>
          </w:p>
        </w:tc>
      </w:tr>
      <w:tr w:rsidR="002B2028">
        <w:trPr>
          <w:trHeight w:val="954"/>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Wang et al. (1994)</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Prospective cohort</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24</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43</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8</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Patients with CP that had completed an 8-year clinical trial without missing appointments and had no more than 2 first or second molars missing at baseline.</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U.S.</w:t>
            </w:r>
          </w:p>
        </w:tc>
      </w:tr>
      <w:tr w:rsidR="002B2028">
        <w:trPr>
          <w:trHeight w:val="954"/>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Little et al.(1995) </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Prospective cohort</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18</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Not reported</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4.6</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Patient with periodontal disease with deep class Il or class III molar furcation invasion</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U.S.</w:t>
            </w:r>
          </w:p>
        </w:tc>
      </w:tr>
      <w:tr w:rsidR="002B2028">
        <w:trPr>
          <w:trHeight w:val="762"/>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McGuire &amp; Nunn (1996)</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Retrospective cohort</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100</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46</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10</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Chronic generalized moderate to severe adult periodontitis</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U.S.</w:t>
            </w:r>
          </w:p>
        </w:tc>
      </w:tr>
      <w:tr w:rsidR="002B2028">
        <w:trPr>
          <w:trHeight w:val="762"/>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Haney et al. (1997)</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Retrospective controlled</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13</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Not reported</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4-5</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Chronic periodontitis</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U.S.</w:t>
            </w:r>
          </w:p>
        </w:tc>
      </w:tr>
      <w:tr w:rsidR="002B2028">
        <w:trPr>
          <w:trHeight w:val="893"/>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Yukna</w:t>
            </w:r>
            <w:proofErr w:type="spellEnd"/>
            <w:r>
              <w:rPr>
                <w:sz w:val="16"/>
                <w:szCs w:val="16"/>
              </w:rPr>
              <w:t xml:space="preserve"> &amp; </w:t>
            </w:r>
            <w:proofErr w:type="spellStart"/>
            <w:r>
              <w:rPr>
                <w:sz w:val="16"/>
                <w:szCs w:val="16"/>
              </w:rPr>
              <w:t>Yukna</w:t>
            </w:r>
            <w:proofErr w:type="spellEnd"/>
            <w:r>
              <w:rPr>
                <w:sz w:val="16"/>
                <w:szCs w:val="16"/>
              </w:rPr>
              <w:t xml:space="preserve"> (1997)</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Prospective cohort</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13</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51</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6.7 (6-7.5)</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rPr>
                <w:sz w:val="16"/>
                <w:szCs w:val="16"/>
              </w:rPr>
            </w:pPr>
            <w:r>
              <w:rPr>
                <w:sz w:val="16"/>
                <w:szCs w:val="16"/>
              </w:rPr>
              <w:t>Grade II molar furcation</w:t>
            </w:r>
          </w:p>
          <w:p w:rsidR="002B2028" w:rsidRDefault="00A45ADA">
            <w:pPr>
              <w:pStyle w:val="Body"/>
              <w:rPr>
                <w:sz w:val="16"/>
                <w:szCs w:val="16"/>
              </w:rPr>
            </w:pPr>
            <w:r>
              <w:rPr>
                <w:sz w:val="16"/>
                <w:szCs w:val="16"/>
              </w:rPr>
              <w:t>defects, with adjacent bone crest height &gt;75% of the root length and coronal to the furcation bone</w:t>
            </w:r>
          </w:p>
          <w:p w:rsidR="002B2028" w:rsidRDefault="00A45ADA">
            <w:pPr>
              <w:pStyle w:val="Body"/>
            </w:pPr>
            <w:r>
              <w:rPr>
                <w:sz w:val="16"/>
                <w:szCs w:val="16"/>
              </w:rPr>
              <w:t>level</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U.S.                                            </w:t>
            </w:r>
          </w:p>
        </w:tc>
      </w:tr>
      <w:tr w:rsidR="002B2028">
        <w:trPr>
          <w:trHeight w:val="762"/>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McLeod et al. (1998)</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Retrospective cohort</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114</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53</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12.5 (5-29)</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rPr>
                <w:sz w:val="16"/>
                <w:szCs w:val="16"/>
              </w:rPr>
            </w:pPr>
            <w:r>
              <w:rPr>
                <w:sz w:val="16"/>
                <w:szCs w:val="16"/>
              </w:rPr>
              <w:t>Moderate to advanced</w:t>
            </w:r>
          </w:p>
          <w:p w:rsidR="002B2028" w:rsidRDefault="00A45ADA">
            <w:pPr>
              <w:pStyle w:val="Body"/>
            </w:pPr>
            <w:r>
              <w:rPr>
                <w:sz w:val="16"/>
                <w:szCs w:val="16"/>
              </w:rPr>
              <w:t>periodontitis with 4 to 7 mm or greater AL</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U.S.</w:t>
            </w:r>
          </w:p>
        </w:tc>
      </w:tr>
      <w:tr w:rsidR="002B2028">
        <w:trPr>
          <w:trHeight w:val="676"/>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Eickholz</w:t>
            </w:r>
            <w:proofErr w:type="spellEnd"/>
            <w:r>
              <w:rPr>
                <w:sz w:val="16"/>
                <w:szCs w:val="16"/>
              </w:rPr>
              <w:t xml:space="preserve"> &amp; </w:t>
            </w:r>
            <w:proofErr w:type="spellStart"/>
            <w:r>
              <w:rPr>
                <w:sz w:val="16"/>
                <w:szCs w:val="16"/>
              </w:rPr>
              <w:t>Hausmann</w:t>
            </w:r>
            <w:proofErr w:type="spellEnd"/>
            <w:r>
              <w:rPr>
                <w:sz w:val="16"/>
                <w:szCs w:val="16"/>
              </w:rPr>
              <w:t xml:space="preserve"> (2002)</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Prospective controlled</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9</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48</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5</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Advanced periodontal disease</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Germany</w:t>
            </w:r>
          </w:p>
        </w:tc>
      </w:tr>
      <w:tr w:rsidR="002B2028">
        <w:trPr>
          <w:trHeight w:val="676"/>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Checchi</w:t>
            </w:r>
            <w:proofErr w:type="spellEnd"/>
            <w:r>
              <w:rPr>
                <w:sz w:val="16"/>
                <w:szCs w:val="16"/>
              </w:rPr>
              <w:t xml:space="preserve"> et al. (2002)</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Retrospective cohort</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92</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45</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6.7 (3-12)</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Chronic adult periodontitis who completed APT and have been on a recall SPT schedule</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Italy</w:t>
            </w:r>
          </w:p>
        </w:tc>
      </w:tr>
      <w:tr w:rsidR="002B2028">
        <w:trPr>
          <w:trHeight w:val="676"/>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lastRenderedPageBreak/>
              <w:t>Dannewitz</w:t>
            </w:r>
            <w:proofErr w:type="spellEnd"/>
            <w:r>
              <w:rPr>
                <w:sz w:val="16"/>
                <w:szCs w:val="16"/>
              </w:rPr>
              <w:t xml:space="preserve"> et al. (2006)</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Retrospective cohort</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71</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46</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5</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rPr>
                <w:sz w:val="16"/>
                <w:szCs w:val="16"/>
              </w:rPr>
            </w:pPr>
            <w:r>
              <w:rPr>
                <w:sz w:val="16"/>
                <w:szCs w:val="16"/>
              </w:rPr>
              <w:t xml:space="preserve">Chronic to aggressive periodontitis </w:t>
            </w:r>
          </w:p>
          <w:p w:rsidR="002B2028" w:rsidRDefault="00A45ADA">
            <w:pPr>
              <w:pStyle w:val="Body"/>
            </w:pPr>
            <w:r>
              <w:rPr>
                <w:sz w:val="16"/>
                <w:szCs w:val="16"/>
              </w:rPr>
              <w:t>(</w:t>
            </w:r>
            <w:r>
              <w:rPr>
                <w:rFonts w:hAnsi="Arial Unicode MS"/>
                <w:sz w:val="16"/>
                <w:szCs w:val="16"/>
              </w:rPr>
              <w:t>≥</w:t>
            </w:r>
            <w:r>
              <w:rPr>
                <w:sz w:val="16"/>
                <w:szCs w:val="16"/>
              </w:rPr>
              <w:t xml:space="preserve"> 50% bone loss in at least 2 permanent teeth)</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Germany</w:t>
            </w:r>
          </w:p>
        </w:tc>
      </w:tr>
      <w:tr w:rsidR="002B2028">
        <w:trPr>
          <w:trHeight w:val="676"/>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Pretzl</w:t>
            </w:r>
            <w:proofErr w:type="spellEnd"/>
            <w:r>
              <w:rPr>
                <w:sz w:val="16"/>
                <w:szCs w:val="16"/>
              </w:rPr>
              <w:t>. et al. (2008)</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Retrospective cohort</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100</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46</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10</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Generalised</w:t>
            </w:r>
            <w:proofErr w:type="spellEnd"/>
            <w:r>
              <w:rPr>
                <w:sz w:val="16"/>
                <w:szCs w:val="16"/>
              </w:rPr>
              <w:t xml:space="preserve"> moderate chronic periodontitis</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Germany</w:t>
            </w:r>
          </w:p>
        </w:tc>
      </w:tr>
      <w:tr w:rsidR="002B2028">
        <w:trPr>
          <w:trHeight w:val="676"/>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Zafiropoulos</w:t>
            </w:r>
            <w:proofErr w:type="spellEnd"/>
            <w:r>
              <w:rPr>
                <w:sz w:val="16"/>
                <w:szCs w:val="16"/>
              </w:rPr>
              <w:t xml:space="preserve"> et al. (2009)</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Retrospective cohort</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60</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50</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Min. 4</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Chronic Periodontitis with a minimum of 4 sites with CAL loss &lt; 4mm, radiographic evidence of bone loss and BOP in 4 sites</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Germany</w:t>
            </w:r>
          </w:p>
        </w:tc>
      </w:tr>
      <w:tr w:rsidR="002B2028">
        <w:trPr>
          <w:trHeight w:val="676"/>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Johansson et al. (2013)</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Retrospective cohort</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64</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Not reported</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14.8 (13-16)</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Patients referred to the Department of Periodontology</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Sweden</w:t>
            </w:r>
          </w:p>
        </w:tc>
      </w:tr>
      <w:tr w:rsidR="002B2028">
        <w:trPr>
          <w:trHeight w:val="676"/>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Miller et al. (2014)</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Retrospective cohort</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106</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42</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15</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Moderate to severe chronic periodontitis</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U.S.</w:t>
            </w:r>
          </w:p>
        </w:tc>
      </w:tr>
      <w:tr w:rsidR="002B2028">
        <w:trPr>
          <w:trHeight w:val="807"/>
        </w:trPr>
        <w:tc>
          <w:tcPr>
            <w:tcW w:w="1008"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Salvi</w:t>
            </w:r>
            <w:proofErr w:type="spellEnd"/>
            <w:r>
              <w:rPr>
                <w:sz w:val="16"/>
                <w:szCs w:val="16"/>
              </w:rPr>
              <w:t xml:space="preserve"> et al. (2014)</w:t>
            </w:r>
          </w:p>
        </w:tc>
        <w:tc>
          <w:tcPr>
            <w:tcW w:w="1227"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Retrospective cohort</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199</w:t>
            </w:r>
          </w:p>
        </w:tc>
        <w:tc>
          <w:tcPr>
            <w:tcW w:w="851"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45</w:t>
            </w:r>
          </w:p>
        </w:tc>
        <w:tc>
          <w:tcPr>
            <w:tcW w:w="85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11.5</w:t>
            </w:r>
          </w:p>
        </w:tc>
        <w:tc>
          <w:tcPr>
            <w:tcW w:w="343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Chronic or aggressive periodontitis (Level 1: proximal attachment loss of </w:t>
            </w:r>
            <w:r>
              <w:rPr>
                <w:rFonts w:hAnsi="Arial Unicode MS"/>
                <w:sz w:val="16"/>
                <w:szCs w:val="16"/>
              </w:rPr>
              <w:t>≥</w:t>
            </w:r>
            <w:r>
              <w:rPr>
                <w:sz w:val="16"/>
                <w:szCs w:val="16"/>
              </w:rPr>
              <w:t xml:space="preserve"> 3 mm at</w:t>
            </w:r>
            <w:r>
              <w:rPr>
                <w:rFonts w:hAnsi="Arial Unicode MS"/>
                <w:sz w:val="16"/>
                <w:szCs w:val="16"/>
              </w:rPr>
              <w:t>≥</w:t>
            </w:r>
            <w:r>
              <w:rPr>
                <w:sz w:val="16"/>
                <w:szCs w:val="16"/>
              </w:rPr>
              <w:t xml:space="preserve"> 2 nonadjacent teeth; level 2: proximal attachment loss of </w:t>
            </w:r>
            <w:r>
              <w:rPr>
                <w:rFonts w:hAnsi="Arial Unicode MS"/>
                <w:sz w:val="16"/>
                <w:szCs w:val="16"/>
              </w:rPr>
              <w:t>≥</w:t>
            </w:r>
            <w:r>
              <w:rPr>
                <w:sz w:val="16"/>
                <w:szCs w:val="16"/>
              </w:rPr>
              <w:t xml:space="preserve"> 5 mm in</w:t>
            </w:r>
            <w:r>
              <w:rPr>
                <w:rFonts w:hAnsi="Arial Unicode MS"/>
                <w:sz w:val="16"/>
                <w:szCs w:val="16"/>
              </w:rPr>
              <w:t>≥</w:t>
            </w:r>
            <w:r>
              <w:rPr>
                <w:sz w:val="16"/>
                <w:szCs w:val="16"/>
              </w:rPr>
              <w:t xml:space="preserve"> 30% of teeth)</w:t>
            </w:r>
          </w:p>
        </w:tc>
        <w:tc>
          <w:tcPr>
            <w:tcW w:w="99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Switzerland</w:t>
            </w:r>
          </w:p>
        </w:tc>
      </w:tr>
      <w:tr w:rsidR="002B2028">
        <w:trPr>
          <w:trHeight w:val="718"/>
        </w:trPr>
        <w:tc>
          <w:tcPr>
            <w:tcW w:w="1008" w:type="dxa"/>
            <w:tcBorders>
              <w:top w:val="nil"/>
              <w:left w:val="nil"/>
              <w:bottom w:val="single" w:sz="4" w:space="0" w:color="000000"/>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Graetz</w:t>
            </w:r>
            <w:proofErr w:type="spellEnd"/>
            <w:r>
              <w:rPr>
                <w:sz w:val="16"/>
                <w:szCs w:val="16"/>
              </w:rPr>
              <w:t xml:space="preserve"> et al. (2015)</w:t>
            </w:r>
          </w:p>
        </w:tc>
        <w:tc>
          <w:tcPr>
            <w:tcW w:w="1227" w:type="dxa"/>
            <w:tcBorders>
              <w:top w:val="nil"/>
              <w:left w:val="nil"/>
              <w:bottom w:val="single" w:sz="4" w:space="0" w:color="000000"/>
              <w:right w:val="nil"/>
            </w:tcBorders>
            <w:shd w:val="clear" w:color="auto" w:fill="auto"/>
            <w:tcMar>
              <w:top w:w="80" w:type="dxa"/>
              <w:left w:w="80" w:type="dxa"/>
              <w:bottom w:w="80" w:type="dxa"/>
              <w:right w:w="80" w:type="dxa"/>
            </w:tcMar>
          </w:tcPr>
          <w:p w:rsidR="002B2028" w:rsidRDefault="00A45ADA">
            <w:pPr>
              <w:pStyle w:val="Body"/>
            </w:pPr>
            <w:r>
              <w:rPr>
                <w:sz w:val="16"/>
                <w:szCs w:val="16"/>
              </w:rPr>
              <w:t>Retrospective cohort</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tcPr>
          <w:p w:rsidR="002B2028" w:rsidRDefault="00A45ADA">
            <w:pPr>
              <w:pStyle w:val="Body"/>
            </w:pPr>
            <w:r>
              <w:rPr>
                <w:sz w:val="16"/>
                <w:szCs w:val="16"/>
              </w:rPr>
              <w:t>379</w:t>
            </w:r>
          </w:p>
        </w:tc>
        <w:tc>
          <w:tcPr>
            <w:tcW w:w="851" w:type="dxa"/>
            <w:tcBorders>
              <w:top w:val="nil"/>
              <w:left w:val="nil"/>
              <w:bottom w:val="single" w:sz="4" w:space="0" w:color="000000"/>
              <w:right w:val="nil"/>
            </w:tcBorders>
            <w:shd w:val="clear" w:color="auto" w:fill="auto"/>
            <w:tcMar>
              <w:top w:w="80" w:type="dxa"/>
              <w:left w:w="80" w:type="dxa"/>
              <w:bottom w:w="80" w:type="dxa"/>
              <w:right w:w="80" w:type="dxa"/>
            </w:tcMar>
          </w:tcPr>
          <w:p w:rsidR="002B2028" w:rsidRDefault="00A45ADA">
            <w:pPr>
              <w:pStyle w:val="Body"/>
            </w:pPr>
            <w:r>
              <w:rPr>
                <w:sz w:val="16"/>
                <w:szCs w:val="16"/>
              </w:rPr>
              <w:t>46</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tcPr>
          <w:p w:rsidR="002B2028" w:rsidRDefault="00A45ADA">
            <w:pPr>
              <w:pStyle w:val="Body"/>
              <w:jc w:val="center"/>
            </w:pPr>
            <w:r>
              <w:rPr>
                <w:rFonts w:ascii="Times New Roman"/>
                <w:sz w:val="16"/>
                <w:szCs w:val="16"/>
              </w:rPr>
              <w:t>18.3</w:t>
            </w:r>
          </w:p>
        </w:tc>
        <w:tc>
          <w:tcPr>
            <w:tcW w:w="3436" w:type="dxa"/>
            <w:tcBorders>
              <w:top w:val="nil"/>
              <w:left w:val="nil"/>
              <w:bottom w:val="single" w:sz="4" w:space="0" w:color="000000"/>
              <w:right w:val="nil"/>
            </w:tcBorders>
            <w:shd w:val="clear" w:color="auto" w:fill="auto"/>
            <w:tcMar>
              <w:top w:w="80" w:type="dxa"/>
              <w:left w:w="80" w:type="dxa"/>
              <w:bottom w:w="80" w:type="dxa"/>
              <w:right w:w="80" w:type="dxa"/>
            </w:tcMar>
          </w:tcPr>
          <w:p w:rsidR="002B2028" w:rsidRDefault="00A45ADA">
            <w:pPr>
              <w:pStyle w:val="Body"/>
            </w:pPr>
            <w:r>
              <w:rPr>
                <w:sz w:val="16"/>
                <w:szCs w:val="16"/>
              </w:rPr>
              <w:t>Chronic or aggressive periodontitis with at least one 1</w:t>
            </w:r>
            <w:r>
              <w:rPr>
                <w:sz w:val="16"/>
                <w:szCs w:val="16"/>
                <w:vertAlign w:val="superscript"/>
              </w:rPr>
              <w:t>st</w:t>
            </w:r>
            <w:r>
              <w:rPr>
                <w:sz w:val="16"/>
                <w:szCs w:val="16"/>
              </w:rPr>
              <w:t xml:space="preserve"> or 2</w:t>
            </w:r>
            <w:r>
              <w:rPr>
                <w:sz w:val="16"/>
                <w:szCs w:val="16"/>
                <w:vertAlign w:val="superscript"/>
              </w:rPr>
              <w:t>nd</w:t>
            </w:r>
            <w:r>
              <w:rPr>
                <w:sz w:val="16"/>
                <w:szCs w:val="16"/>
              </w:rPr>
              <w:t xml:space="preserve"> molar present, regular SPT and complete radiological documentation at baseline and last visit </w:t>
            </w:r>
          </w:p>
        </w:tc>
        <w:tc>
          <w:tcPr>
            <w:tcW w:w="992" w:type="dxa"/>
            <w:tcBorders>
              <w:top w:val="nil"/>
              <w:left w:val="nil"/>
              <w:bottom w:val="single" w:sz="4" w:space="0" w:color="000000"/>
              <w:right w:val="nil"/>
            </w:tcBorders>
            <w:shd w:val="clear" w:color="auto" w:fill="auto"/>
            <w:tcMar>
              <w:top w:w="80" w:type="dxa"/>
              <w:left w:w="80" w:type="dxa"/>
              <w:bottom w:w="80" w:type="dxa"/>
              <w:right w:w="80" w:type="dxa"/>
            </w:tcMar>
          </w:tcPr>
          <w:p w:rsidR="002B2028" w:rsidRDefault="00A45ADA">
            <w:pPr>
              <w:pStyle w:val="Body"/>
            </w:pPr>
            <w:r>
              <w:rPr>
                <w:sz w:val="16"/>
                <w:szCs w:val="16"/>
              </w:rPr>
              <w:t>Germany</w:t>
            </w:r>
          </w:p>
        </w:tc>
      </w:tr>
    </w:tbl>
    <w:p w:rsidR="002B2028" w:rsidRDefault="002B2028">
      <w:pPr>
        <w:pStyle w:val="Body"/>
        <w:widowControl w:val="0"/>
        <w:tabs>
          <w:tab w:val="left" w:pos="360"/>
        </w:tabs>
        <w:ind w:left="426" w:right="4"/>
        <w:jc w:val="both"/>
        <w:rPr>
          <w:rFonts w:ascii="Times New Roman" w:eastAsia="Times New Roman" w:hAnsi="Times New Roman" w:cs="Times New Roman"/>
          <w:b/>
          <w:bCs/>
        </w:rPr>
      </w:pPr>
    </w:p>
    <w:p w:rsidR="002B2028" w:rsidRDefault="002B2028">
      <w:pPr>
        <w:pStyle w:val="Body"/>
        <w:widowControl w:val="0"/>
        <w:tabs>
          <w:tab w:val="left" w:pos="360"/>
        </w:tabs>
        <w:ind w:left="426" w:right="4"/>
        <w:jc w:val="both"/>
        <w:rPr>
          <w:rFonts w:ascii="Times New Roman" w:eastAsia="Times New Roman" w:hAnsi="Times New Roman" w:cs="Times New Roman"/>
          <w:b/>
          <w:bCs/>
        </w:rPr>
      </w:pPr>
    </w:p>
    <w:p w:rsidR="002B2028" w:rsidRDefault="00A45ADA">
      <w:pPr>
        <w:pStyle w:val="Body"/>
        <w:tabs>
          <w:tab w:val="left" w:pos="360"/>
        </w:tabs>
        <w:spacing w:line="360" w:lineRule="auto"/>
        <w:ind w:left="426" w:right="4"/>
        <w:jc w:val="center"/>
        <w:rPr>
          <w:b/>
          <w:bCs/>
        </w:rPr>
      </w:pPr>
      <w:r>
        <w:rPr>
          <w:rFonts w:ascii="Times New Roman"/>
          <w:b/>
          <w:bCs/>
        </w:rPr>
        <w:t>Table 1</w:t>
      </w:r>
    </w:p>
    <w:p w:rsidR="002B2028" w:rsidRDefault="002B2028">
      <w:pPr>
        <w:pStyle w:val="Body"/>
        <w:tabs>
          <w:tab w:val="left" w:pos="360"/>
        </w:tabs>
        <w:spacing w:line="360" w:lineRule="auto"/>
        <w:ind w:left="426" w:right="4"/>
        <w:jc w:val="both"/>
        <w:rPr>
          <w:rFonts w:ascii="Times New Roman" w:eastAsia="Times New Roman" w:hAnsi="Times New Roman" w:cs="Times New Roman"/>
          <w:b/>
          <w:bCs/>
        </w:rPr>
      </w:pPr>
    </w:p>
    <w:p w:rsidR="002B2028" w:rsidRDefault="002B2028">
      <w:pPr>
        <w:pStyle w:val="Body"/>
        <w:tabs>
          <w:tab w:val="left" w:pos="360"/>
        </w:tabs>
        <w:spacing w:line="360" w:lineRule="auto"/>
        <w:ind w:left="426" w:right="4"/>
        <w:jc w:val="both"/>
        <w:rPr>
          <w:rFonts w:ascii="Times New Roman" w:eastAsia="Times New Roman" w:hAnsi="Times New Roman" w:cs="Times New Roman"/>
          <w:b/>
          <w:bCs/>
        </w:rPr>
      </w:pPr>
    </w:p>
    <w:p w:rsidR="002B2028" w:rsidRDefault="002B2028">
      <w:pPr>
        <w:pStyle w:val="Body"/>
        <w:tabs>
          <w:tab w:val="left" w:pos="360"/>
        </w:tabs>
        <w:spacing w:line="360" w:lineRule="auto"/>
        <w:ind w:left="426" w:right="4"/>
        <w:jc w:val="both"/>
        <w:rPr>
          <w:rFonts w:ascii="Times New Roman" w:eastAsia="Times New Roman" w:hAnsi="Times New Roman" w:cs="Times New Roman"/>
          <w:b/>
          <w:bCs/>
        </w:rPr>
      </w:pPr>
    </w:p>
    <w:p w:rsidR="002B2028" w:rsidRDefault="002B2028">
      <w:pPr>
        <w:pStyle w:val="Body"/>
        <w:tabs>
          <w:tab w:val="left" w:pos="360"/>
        </w:tabs>
        <w:spacing w:line="360" w:lineRule="auto"/>
        <w:ind w:left="426" w:right="4"/>
        <w:jc w:val="both"/>
        <w:rPr>
          <w:rFonts w:ascii="Times New Roman" w:eastAsia="Times New Roman" w:hAnsi="Times New Roman" w:cs="Times New Roman"/>
          <w:b/>
          <w:bCs/>
        </w:rPr>
      </w:pPr>
    </w:p>
    <w:p w:rsidR="002B2028" w:rsidRDefault="002B2028">
      <w:pPr>
        <w:pStyle w:val="Body"/>
        <w:spacing w:line="360" w:lineRule="auto"/>
        <w:jc w:val="both"/>
        <w:rPr>
          <w:rFonts w:ascii="Times New Roman" w:eastAsia="Times New Roman" w:hAnsi="Times New Roman" w:cs="Times New Roman"/>
        </w:rPr>
      </w:pPr>
    </w:p>
    <w:p w:rsidR="002B2028" w:rsidRDefault="00A45ADA">
      <w:pPr>
        <w:pStyle w:val="Body"/>
      </w:pPr>
      <w:r>
        <w:br w:type="page"/>
      </w:r>
    </w:p>
    <w:p w:rsidR="002B2028" w:rsidRDefault="002B2028">
      <w:pPr>
        <w:pStyle w:val="Body"/>
      </w:pPr>
    </w:p>
    <w:p w:rsidR="002B2028" w:rsidRDefault="002B2028">
      <w:pPr>
        <w:pStyle w:val="Body"/>
        <w:widowControl w:val="0"/>
      </w:pPr>
    </w:p>
    <w:tbl>
      <w:tblPr>
        <w:tblW w:w="87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62"/>
        <w:gridCol w:w="4416"/>
        <w:gridCol w:w="3119"/>
      </w:tblGrid>
      <w:tr w:rsidR="002B2028">
        <w:trPr>
          <w:trHeight w:val="707"/>
        </w:trPr>
        <w:tc>
          <w:tcPr>
            <w:tcW w:w="126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Times New Roman"/>
                <w:b/>
                <w:bCs/>
                <w:sz w:val="20"/>
                <w:szCs w:val="20"/>
              </w:rPr>
              <w:t>Author/ Year</w:t>
            </w:r>
          </w:p>
        </w:tc>
        <w:tc>
          <w:tcPr>
            <w:tcW w:w="44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Times New Roman"/>
                <w:b/>
                <w:bCs/>
                <w:sz w:val="20"/>
                <w:szCs w:val="20"/>
              </w:rPr>
              <w:t>Initial therapy (active periodontal therapy, APT)</w:t>
            </w:r>
          </w:p>
        </w:tc>
        <w:tc>
          <w:tcPr>
            <w:tcW w:w="31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Times New Roman"/>
                <w:b/>
                <w:bCs/>
                <w:sz w:val="20"/>
                <w:szCs w:val="20"/>
              </w:rPr>
              <w:t xml:space="preserve">Supportive periodontal therapy (SPT) </w:t>
            </w:r>
          </w:p>
        </w:tc>
      </w:tr>
      <w:tr w:rsidR="002B2028">
        <w:trPr>
          <w:trHeight w:val="563"/>
        </w:trPr>
        <w:tc>
          <w:tcPr>
            <w:tcW w:w="1262" w:type="dxa"/>
            <w:tcBorders>
              <w:top w:val="single" w:sz="4" w:space="0" w:color="000000"/>
              <w:left w:val="nil"/>
              <w:bottom w:val="nil"/>
              <w:right w:val="nil"/>
            </w:tcBorders>
            <w:shd w:val="clear" w:color="auto" w:fill="auto"/>
            <w:tcMar>
              <w:top w:w="80" w:type="dxa"/>
              <w:left w:w="80" w:type="dxa"/>
              <w:bottom w:w="80" w:type="dxa"/>
              <w:right w:w="80" w:type="dxa"/>
            </w:tcMar>
          </w:tcPr>
          <w:p w:rsidR="002B2028" w:rsidRDefault="00A45ADA">
            <w:pPr>
              <w:pStyle w:val="Body"/>
              <w:tabs>
                <w:tab w:val="left" w:pos="707"/>
              </w:tabs>
            </w:pPr>
            <w:proofErr w:type="spellStart"/>
            <w:r>
              <w:rPr>
                <w:rFonts w:ascii="Times New Roman"/>
                <w:sz w:val="16"/>
                <w:szCs w:val="16"/>
              </w:rPr>
              <w:t>Lindhe</w:t>
            </w:r>
            <w:proofErr w:type="spellEnd"/>
            <w:r>
              <w:rPr>
                <w:rFonts w:ascii="Times New Roman"/>
                <w:sz w:val="16"/>
                <w:szCs w:val="16"/>
              </w:rPr>
              <w:t xml:space="preserve"> &amp; Nyman (1975)</w:t>
            </w:r>
          </w:p>
        </w:tc>
        <w:tc>
          <w:tcPr>
            <w:tcW w:w="4416" w:type="dxa"/>
            <w:tcBorders>
              <w:top w:val="single" w:sz="4" w:space="0" w:color="000000"/>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OHI, SRP, restorative therapy if needed, periodontal surgery in PPDs&gt;4mm (</w:t>
            </w:r>
            <w:proofErr w:type="spellStart"/>
            <w:r>
              <w:rPr>
                <w:sz w:val="16"/>
                <w:szCs w:val="16"/>
              </w:rPr>
              <w:t>gingivectomy</w:t>
            </w:r>
            <w:proofErr w:type="spellEnd"/>
            <w:r>
              <w:rPr>
                <w:sz w:val="16"/>
                <w:szCs w:val="16"/>
              </w:rPr>
              <w:t xml:space="preserve">, </w:t>
            </w:r>
            <w:proofErr w:type="spellStart"/>
            <w:r>
              <w:rPr>
                <w:sz w:val="16"/>
                <w:szCs w:val="16"/>
              </w:rPr>
              <w:t>Widman</w:t>
            </w:r>
            <w:proofErr w:type="spellEnd"/>
            <w:r>
              <w:rPr>
                <w:sz w:val="16"/>
                <w:szCs w:val="16"/>
              </w:rPr>
              <w:t xml:space="preserve"> flaps, bone </w:t>
            </w:r>
            <w:proofErr w:type="spellStart"/>
            <w:r>
              <w:rPr>
                <w:sz w:val="16"/>
                <w:szCs w:val="16"/>
              </w:rPr>
              <w:t>recontouring</w:t>
            </w:r>
            <w:proofErr w:type="spellEnd"/>
            <w:r>
              <w:rPr>
                <w:sz w:val="16"/>
                <w:szCs w:val="16"/>
              </w:rPr>
              <w:t xml:space="preserve">, furcation </w:t>
            </w:r>
            <w:proofErr w:type="spellStart"/>
            <w:r>
              <w:rPr>
                <w:sz w:val="16"/>
                <w:szCs w:val="16"/>
              </w:rPr>
              <w:t>plasty</w:t>
            </w:r>
            <w:proofErr w:type="spellEnd"/>
            <w:r>
              <w:rPr>
                <w:sz w:val="16"/>
                <w:szCs w:val="16"/>
              </w:rPr>
              <w:t>, tunneling, root resection as indicated)</w:t>
            </w:r>
          </w:p>
        </w:tc>
        <w:tc>
          <w:tcPr>
            <w:tcW w:w="3119" w:type="dxa"/>
            <w:tcBorders>
              <w:top w:val="single" w:sz="4" w:space="0" w:color="000000"/>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3-6 monthly OHI and prophylaxis by hygienist, yearly periodontal examinations and radiographs</w:t>
            </w:r>
          </w:p>
        </w:tc>
      </w:tr>
      <w:tr w:rsidR="002B2028">
        <w:trPr>
          <w:trHeight w:val="580"/>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Hirschfeld</w:t>
            </w:r>
            <w:proofErr w:type="spellEnd"/>
            <w:r>
              <w:rPr>
                <w:sz w:val="16"/>
                <w:szCs w:val="16"/>
              </w:rPr>
              <w:t xml:space="preserve"> &amp; Wasserman (1978)</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Subgingival scaling with or without surgery (additional surgical procedure or non-surgical procedure performed depending on tooth diagnosis)</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rPr>
                <w:sz w:val="16"/>
                <w:szCs w:val="16"/>
              </w:rPr>
            </w:pPr>
            <w:r>
              <w:rPr>
                <w:sz w:val="16"/>
                <w:szCs w:val="16"/>
              </w:rPr>
              <w:t xml:space="preserve">Deep scaling + </w:t>
            </w:r>
            <w:r>
              <w:rPr>
                <w:rFonts w:hAnsi="Arial Unicode MS"/>
                <w:sz w:val="16"/>
                <w:szCs w:val="16"/>
              </w:rPr>
              <w:t>‘</w:t>
            </w:r>
            <w:r>
              <w:rPr>
                <w:sz w:val="16"/>
                <w:szCs w:val="16"/>
              </w:rPr>
              <w:t>problem areas</w:t>
            </w:r>
            <w:r>
              <w:rPr>
                <w:rFonts w:hAnsi="Arial Unicode MS"/>
                <w:sz w:val="16"/>
                <w:szCs w:val="16"/>
              </w:rPr>
              <w:t>’</w:t>
            </w:r>
            <w:r>
              <w:rPr>
                <w:sz w:val="16"/>
                <w:szCs w:val="16"/>
              </w:rPr>
              <w:t xml:space="preserve"> retreated when necessary, occlusion</w:t>
            </w:r>
          </w:p>
          <w:p w:rsidR="002B2028" w:rsidRDefault="00A45ADA">
            <w:pPr>
              <w:pStyle w:val="Body"/>
            </w:pPr>
            <w:r>
              <w:rPr>
                <w:sz w:val="16"/>
                <w:szCs w:val="16"/>
              </w:rPr>
              <w:t>was checked and adjusted as indicated, OHI</w:t>
            </w:r>
          </w:p>
        </w:tc>
      </w:tr>
      <w:tr w:rsidR="002B2028">
        <w:trPr>
          <w:trHeight w:val="538"/>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McFall</w:t>
            </w:r>
            <w:proofErr w:type="spellEnd"/>
            <w:r>
              <w:rPr>
                <w:sz w:val="16"/>
                <w:szCs w:val="16"/>
              </w:rPr>
              <w:t xml:space="preserve"> (1982)</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Supragingival</w:t>
            </w:r>
            <w:proofErr w:type="spellEnd"/>
            <w:r>
              <w:rPr>
                <w:sz w:val="16"/>
                <w:szCs w:val="16"/>
              </w:rPr>
              <w:t xml:space="preserve"> and subgingival scaling, polishing, OHI, </w:t>
            </w:r>
            <w:proofErr w:type="spellStart"/>
            <w:r>
              <w:rPr>
                <w:sz w:val="16"/>
                <w:szCs w:val="16"/>
              </w:rPr>
              <w:t>occlusal</w:t>
            </w:r>
            <w:proofErr w:type="spellEnd"/>
            <w:r>
              <w:rPr>
                <w:sz w:val="16"/>
                <w:szCs w:val="16"/>
              </w:rPr>
              <w:t xml:space="preserve"> adjustment and </w:t>
            </w:r>
            <w:proofErr w:type="spellStart"/>
            <w:r>
              <w:rPr>
                <w:sz w:val="16"/>
                <w:szCs w:val="16"/>
              </w:rPr>
              <w:t>biteguards</w:t>
            </w:r>
            <w:proofErr w:type="spellEnd"/>
            <w:r>
              <w:rPr>
                <w:sz w:val="16"/>
                <w:szCs w:val="16"/>
              </w:rPr>
              <w:t xml:space="preserve"> if needed, gingival curettage, </w:t>
            </w:r>
            <w:proofErr w:type="spellStart"/>
            <w:r>
              <w:rPr>
                <w:sz w:val="16"/>
                <w:szCs w:val="16"/>
              </w:rPr>
              <w:t>gingivectomy</w:t>
            </w:r>
            <w:proofErr w:type="spellEnd"/>
            <w:r>
              <w:rPr>
                <w:sz w:val="16"/>
                <w:szCs w:val="16"/>
              </w:rPr>
              <w:t xml:space="preserve">, </w:t>
            </w:r>
            <w:proofErr w:type="spellStart"/>
            <w:r>
              <w:rPr>
                <w:sz w:val="16"/>
                <w:szCs w:val="16"/>
              </w:rPr>
              <w:t>gingivoplasty</w:t>
            </w:r>
            <w:proofErr w:type="spellEnd"/>
            <w:r>
              <w:rPr>
                <w:sz w:val="16"/>
                <w:szCs w:val="16"/>
              </w:rPr>
              <w:t xml:space="preserve">, </w:t>
            </w:r>
            <w:proofErr w:type="spellStart"/>
            <w:r>
              <w:rPr>
                <w:sz w:val="16"/>
                <w:szCs w:val="16"/>
              </w:rPr>
              <w:t>ostectomy</w:t>
            </w:r>
            <w:proofErr w:type="spellEnd"/>
            <w:r>
              <w:rPr>
                <w:sz w:val="16"/>
                <w:szCs w:val="16"/>
              </w:rPr>
              <w:t xml:space="preserve">, </w:t>
            </w:r>
            <w:proofErr w:type="spellStart"/>
            <w:r>
              <w:rPr>
                <w:sz w:val="16"/>
                <w:szCs w:val="16"/>
              </w:rPr>
              <w:t>osteoplasty</w:t>
            </w:r>
            <w:proofErr w:type="spellEnd"/>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Generally every 3-4 to 6 months (including curettage, </w:t>
            </w:r>
            <w:proofErr w:type="spellStart"/>
            <w:r>
              <w:rPr>
                <w:sz w:val="16"/>
                <w:szCs w:val="16"/>
              </w:rPr>
              <w:t>muco</w:t>
            </w:r>
            <w:proofErr w:type="spellEnd"/>
            <w:r>
              <w:rPr>
                <w:sz w:val="16"/>
                <w:szCs w:val="16"/>
              </w:rPr>
              <w:t>-periosteal flaps, osseous surgery, root resection if needed)</w:t>
            </w:r>
          </w:p>
        </w:tc>
      </w:tr>
      <w:tr w:rsidR="002B2028">
        <w:trPr>
          <w:trHeight w:val="538"/>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Goldman et al. (1986)</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Oral physiotherapy, </w:t>
            </w:r>
            <w:proofErr w:type="spellStart"/>
            <w:r>
              <w:rPr>
                <w:sz w:val="16"/>
                <w:szCs w:val="16"/>
              </w:rPr>
              <w:t>supragingival</w:t>
            </w:r>
            <w:proofErr w:type="spellEnd"/>
            <w:r>
              <w:rPr>
                <w:sz w:val="16"/>
                <w:szCs w:val="16"/>
              </w:rPr>
              <w:t xml:space="preserve"> and subgingival scaling, OHI </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3-6 months recalls (selective grinding and coronal re-shaping, adjunct restorative treatment if needed)</w:t>
            </w:r>
          </w:p>
        </w:tc>
      </w:tr>
      <w:tr w:rsidR="002B2028">
        <w:trPr>
          <w:trHeight w:val="533"/>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Wood et al. (1989)</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OHI+ non-surgical (SRP, curettage, </w:t>
            </w:r>
            <w:proofErr w:type="spellStart"/>
            <w:r>
              <w:rPr>
                <w:sz w:val="16"/>
                <w:szCs w:val="16"/>
              </w:rPr>
              <w:t>occlusal</w:t>
            </w:r>
            <w:proofErr w:type="spellEnd"/>
            <w:r>
              <w:rPr>
                <w:sz w:val="16"/>
                <w:szCs w:val="16"/>
              </w:rPr>
              <w:t xml:space="preserve"> adjustment) and surgical treatment (</w:t>
            </w:r>
            <w:proofErr w:type="spellStart"/>
            <w:r>
              <w:rPr>
                <w:sz w:val="16"/>
                <w:szCs w:val="16"/>
              </w:rPr>
              <w:t>gingivectomy</w:t>
            </w:r>
            <w:proofErr w:type="spellEnd"/>
            <w:r>
              <w:rPr>
                <w:sz w:val="16"/>
                <w:szCs w:val="16"/>
              </w:rPr>
              <w:t xml:space="preserve">, flap surgery, flap curettage, osseous contouring, osseous grafting, root amputation) </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Not reported</w:t>
            </w:r>
          </w:p>
        </w:tc>
      </w:tr>
      <w:tr w:rsidR="002B2028">
        <w:trPr>
          <w:trHeight w:val="954"/>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Kuhrau</w:t>
            </w:r>
            <w:proofErr w:type="spellEnd"/>
            <w:r>
              <w:rPr>
                <w:sz w:val="16"/>
                <w:szCs w:val="16"/>
              </w:rPr>
              <w:t xml:space="preserve"> et al. (1990)</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Surgical therapy (modified </w:t>
            </w:r>
            <w:proofErr w:type="spellStart"/>
            <w:r>
              <w:rPr>
                <w:sz w:val="16"/>
                <w:szCs w:val="16"/>
              </w:rPr>
              <w:t>Widman</w:t>
            </w:r>
            <w:proofErr w:type="spellEnd"/>
            <w:r>
              <w:rPr>
                <w:sz w:val="16"/>
                <w:szCs w:val="16"/>
              </w:rPr>
              <w:t xml:space="preserve"> flap, root resection, tunneling)</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rFonts w:hAnsi="Arial Unicode MS"/>
                <w:sz w:val="16"/>
                <w:szCs w:val="16"/>
              </w:rPr>
              <w:t>‘</w:t>
            </w:r>
            <w:r>
              <w:rPr>
                <w:sz w:val="16"/>
                <w:szCs w:val="16"/>
              </w:rPr>
              <w:t>Regular</w:t>
            </w:r>
            <w:r>
              <w:rPr>
                <w:rFonts w:hAnsi="Arial Unicode MS"/>
                <w:sz w:val="16"/>
                <w:szCs w:val="16"/>
              </w:rPr>
              <w:t>’</w:t>
            </w:r>
          </w:p>
        </w:tc>
      </w:tr>
      <w:tr w:rsidR="002B2028">
        <w:trPr>
          <w:trHeight w:val="954"/>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Wang et al. (1994)</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rPr>
                <w:sz w:val="16"/>
                <w:szCs w:val="16"/>
              </w:rPr>
            </w:pPr>
            <w:r>
              <w:rPr>
                <w:sz w:val="16"/>
                <w:szCs w:val="16"/>
              </w:rPr>
              <w:t>SRP followed by one of three procedures: pocket elimination</w:t>
            </w:r>
          </w:p>
          <w:p w:rsidR="002B2028" w:rsidRDefault="00A45ADA">
            <w:pPr>
              <w:pStyle w:val="Body"/>
              <w:rPr>
                <w:sz w:val="16"/>
                <w:szCs w:val="16"/>
              </w:rPr>
            </w:pPr>
            <w:r>
              <w:rPr>
                <w:sz w:val="16"/>
                <w:szCs w:val="16"/>
              </w:rPr>
              <w:t xml:space="preserve">surgery, modified </w:t>
            </w:r>
            <w:proofErr w:type="spellStart"/>
            <w:r>
              <w:rPr>
                <w:sz w:val="16"/>
                <w:szCs w:val="16"/>
              </w:rPr>
              <w:t>Widman</w:t>
            </w:r>
            <w:proofErr w:type="spellEnd"/>
            <w:r>
              <w:rPr>
                <w:sz w:val="16"/>
                <w:szCs w:val="16"/>
              </w:rPr>
              <w:t xml:space="preserve"> flap surgery or gingival</w:t>
            </w:r>
          </w:p>
          <w:p w:rsidR="002B2028" w:rsidRDefault="00A45ADA">
            <w:pPr>
              <w:pStyle w:val="Body"/>
            </w:pPr>
            <w:r>
              <w:rPr>
                <w:sz w:val="16"/>
                <w:szCs w:val="16"/>
              </w:rPr>
              <w:t>curettage</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3-month recall interval for maintenance prophylaxis and yearly examinations </w:t>
            </w:r>
          </w:p>
        </w:tc>
      </w:tr>
      <w:tr w:rsidR="002B2028">
        <w:trPr>
          <w:trHeight w:val="762"/>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Little et al.(1995) </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Surgical therapy consisting of osseous </w:t>
            </w:r>
            <w:proofErr w:type="spellStart"/>
            <w:r>
              <w:rPr>
                <w:sz w:val="16"/>
                <w:szCs w:val="16"/>
              </w:rPr>
              <w:t>resectioning</w:t>
            </w:r>
            <w:proofErr w:type="spellEnd"/>
            <w:r>
              <w:rPr>
                <w:sz w:val="16"/>
                <w:szCs w:val="16"/>
              </w:rPr>
              <w:t xml:space="preserve"> and/or </w:t>
            </w:r>
            <w:proofErr w:type="spellStart"/>
            <w:r>
              <w:rPr>
                <w:sz w:val="16"/>
                <w:szCs w:val="16"/>
              </w:rPr>
              <w:t>recontouring</w:t>
            </w:r>
            <w:proofErr w:type="spellEnd"/>
            <w:r>
              <w:rPr>
                <w:sz w:val="16"/>
                <w:szCs w:val="16"/>
              </w:rPr>
              <w:t xml:space="preserve"> to the adjacent mesial tooth and tunneling </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rPr>
                <w:sz w:val="16"/>
                <w:szCs w:val="16"/>
              </w:rPr>
            </w:pPr>
            <w:r>
              <w:rPr>
                <w:sz w:val="16"/>
                <w:szCs w:val="16"/>
              </w:rPr>
              <w:t>3- monthly following surgery to</w:t>
            </w:r>
          </w:p>
          <w:p w:rsidR="002B2028" w:rsidRDefault="00A45ADA">
            <w:pPr>
              <w:pStyle w:val="Body"/>
              <w:rPr>
                <w:sz w:val="16"/>
                <w:szCs w:val="16"/>
              </w:rPr>
            </w:pPr>
            <w:r>
              <w:rPr>
                <w:sz w:val="16"/>
                <w:szCs w:val="16"/>
              </w:rPr>
              <w:t>control plaque and potential bacterial</w:t>
            </w:r>
          </w:p>
          <w:p w:rsidR="002B2028" w:rsidRDefault="00A45ADA">
            <w:pPr>
              <w:pStyle w:val="Body"/>
            </w:pPr>
            <w:r>
              <w:rPr>
                <w:sz w:val="16"/>
                <w:szCs w:val="16"/>
              </w:rPr>
              <w:t>pathogens</w:t>
            </w:r>
          </w:p>
        </w:tc>
      </w:tr>
      <w:tr w:rsidR="002B2028">
        <w:trPr>
          <w:trHeight w:val="762"/>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McGuire &amp; Nunn (1996)</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SRP, OHI, removal of fremitus, surgery if indicated (osseous surgery, open SRP, rarely bone grafts</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rPr>
                <w:sz w:val="16"/>
                <w:szCs w:val="16"/>
              </w:rPr>
            </w:pPr>
            <w:r>
              <w:rPr>
                <w:sz w:val="16"/>
                <w:szCs w:val="16"/>
              </w:rPr>
              <w:t>2- or 3-month intervals (majority</w:t>
            </w:r>
          </w:p>
          <w:p w:rsidR="002B2028" w:rsidRDefault="00A45ADA">
            <w:pPr>
              <w:pStyle w:val="Body"/>
            </w:pPr>
            <w:r>
              <w:rPr>
                <w:sz w:val="16"/>
                <w:szCs w:val="16"/>
              </w:rPr>
              <w:t xml:space="preserve">under a 3-month interval) (SRP, polishing, minor </w:t>
            </w:r>
            <w:proofErr w:type="spellStart"/>
            <w:r>
              <w:rPr>
                <w:sz w:val="16"/>
                <w:szCs w:val="16"/>
              </w:rPr>
              <w:t>occlusal</w:t>
            </w:r>
            <w:proofErr w:type="spellEnd"/>
            <w:r>
              <w:rPr>
                <w:sz w:val="16"/>
                <w:szCs w:val="16"/>
              </w:rPr>
              <w:t xml:space="preserve"> adjustments)</w:t>
            </w:r>
          </w:p>
        </w:tc>
      </w:tr>
      <w:tr w:rsidR="002B2028">
        <w:trPr>
          <w:trHeight w:val="762"/>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Haney et al. (1997)</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Coronally</w:t>
            </w:r>
            <w:proofErr w:type="spellEnd"/>
            <w:r>
              <w:rPr>
                <w:sz w:val="16"/>
                <w:szCs w:val="16"/>
              </w:rPr>
              <w:t>-advanced flap procedures and citric acid root treatment with or without adjunctive implantation of freeze-dried, demineralized allogeneic bone</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6-monthly for 5 years</w:t>
            </w:r>
          </w:p>
        </w:tc>
      </w:tr>
      <w:tr w:rsidR="002B2028">
        <w:trPr>
          <w:trHeight w:val="676"/>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Yukna</w:t>
            </w:r>
            <w:proofErr w:type="spellEnd"/>
            <w:r>
              <w:rPr>
                <w:sz w:val="16"/>
                <w:szCs w:val="16"/>
              </w:rPr>
              <w:t xml:space="preserve"> &amp; </w:t>
            </w:r>
            <w:proofErr w:type="spellStart"/>
            <w:r>
              <w:rPr>
                <w:sz w:val="16"/>
                <w:szCs w:val="16"/>
              </w:rPr>
              <w:t>Yukna</w:t>
            </w:r>
            <w:proofErr w:type="spellEnd"/>
            <w:r>
              <w:rPr>
                <w:sz w:val="16"/>
                <w:szCs w:val="16"/>
              </w:rPr>
              <w:t xml:space="preserve"> (1997)</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rPr>
                <w:sz w:val="16"/>
                <w:szCs w:val="16"/>
              </w:rPr>
            </w:pPr>
            <w:r>
              <w:rPr>
                <w:sz w:val="16"/>
                <w:szCs w:val="16"/>
              </w:rPr>
              <w:t xml:space="preserve">Regenerative surgery with bone grafts and </w:t>
            </w:r>
            <w:proofErr w:type="spellStart"/>
            <w:r>
              <w:rPr>
                <w:sz w:val="16"/>
                <w:szCs w:val="16"/>
              </w:rPr>
              <w:t>coronally</w:t>
            </w:r>
            <w:proofErr w:type="spellEnd"/>
            <w:r>
              <w:rPr>
                <w:sz w:val="16"/>
                <w:szCs w:val="16"/>
              </w:rPr>
              <w:t xml:space="preserve">-advanced flaps </w:t>
            </w:r>
          </w:p>
          <w:p w:rsidR="002B2028" w:rsidRDefault="00A45ADA">
            <w:pPr>
              <w:pStyle w:val="Body"/>
            </w:pPr>
            <w:r>
              <w:rPr>
                <w:sz w:val="16"/>
                <w:szCs w:val="16"/>
              </w:rPr>
              <w:t>.</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Weekly, then monthly </w:t>
            </w:r>
            <w:proofErr w:type="spellStart"/>
            <w:r>
              <w:rPr>
                <w:sz w:val="16"/>
                <w:szCs w:val="16"/>
              </w:rPr>
              <w:t>deplaquing</w:t>
            </w:r>
            <w:proofErr w:type="spellEnd"/>
            <w:r>
              <w:rPr>
                <w:sz w:val="16"/>
                <w:szCs w:val="16"/>
              </w:rPr>
              <w:t xml:space="preserve"> until surgical re-entry at 6-12 months, then 3-month recalls </w:t>
            </w:r>
          </w:p>
        </w:tc>
      </w:tr>
      <w:tr w:rsidR="002B2028">
        <w:trPr>
          <w:trHeight w:val="893"/>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McLeod et al. (1998)</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rPr>
                <w:sz w:val="16"/>
                <w:szCs w:val="16"/>
              </w:rPr>
            </w:pPr>
            <w:r>
              <w:rPr>
                <w:sz w:val="16"/>
                <w:szCs w:val="16"/>
              </w:rPr>
              <w:t xml:space="preserve">Non-surgical therapy (OHI, SRP, </w:t>
            </w:r>
            <w:proofErr w:type="spellStart"/>
            <w:r>
              <w:rPr>
                <w:sz w:val="16"/>
                <w:szCs w:val="16"/>
              </w:rPr>
              <w:t>occlusal</w:t>
            </w:r>
            <w:proofErr w:type="spellEnd"/>
            <w:r>
              <w:rPr>
                <w:sz w:val="16"/>
                <w:szCs w:val="16"/>
              </w:rPr>
              <w:t xml:space="preserve"> adjustment, </w:t>
            </w:r>
          </w:p>
          <w:p w:rsidR="002B2028" w:rsidRDefault="00A45ADA">
            <w:pPr>
              <w:pStyle w:val="Body"/>
              <w:rPr>
                <w:sz w:val="16"/>
                <w:szCs w:val="16"/>
              </w:rPr>
            </w:pPr>
            <w:r>
              <w:rPr>
                <w:sz w:val="16"/>
                <w:szCs w:val="16"/>
              </w:rPr>
              <w:t>occasional use of systemic AB and</w:t>
            </w:r>
          </w:p>
          <w:p w:rsidR="002B2028" w:rsidRDefault="00A45ADA">
            <w:pPr>
              <w:pStyle w:val="Body"/>
            </w:pPr>
            <w:r>
              <w:rPr>
                <w:sz w:val="16"/>
                <w:szCs w:val="16"/>
              </w:rPr>
              <w:t xml:space="preserve">antibacterial </w:t>
            </w:r>
            <w:proofErr w:type="spellStart"/>
            <w:r>
              <w:rPr>
                <w:sz w:val="16"/>
                <w:szCs w:val="16"/>
              </w:rPr>
              <w:t>mouthrinses</w:t>
            </w:r>
            <w:proofErr w:type="spellEnd"/>
            <w:r>
              <w:rPr>
                <w:sz w:val="16"/>
                <w:szCs w:val="16"/>
              </w:rPr>
              <w:t>) followed by surgical treatment (pocket reduction and pocket elimination procedures and occasional regeneration procedures)</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6-monthly</w:t>
            </w:r>
          </w:p>
        </w:tc>
      </w:tr>
      <w:tr w:rsidR="002B2028">
        <w:trPr>
          <w:trHeight w:val="760"/>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Eickholz</w:t>
            </w:r>
            <w:proofErr w:type="spellEnd"/>
            <w:r>
              <w:rPr>
                <w:sz w:val="16"/>
                <w:szCs w:val="16"/>
              </w:rPr>
              <w:t xml:space="preserve"> &amp; </w:t>
            </w:r>
            <w:proofErr w:type="spellStart"/>
            <w:r>
              <w:rPr>
                <w:sz w:val="16"/>
                <w:szCs w:val="16"/>
              </w:rPr>
              <w:t>Hausmann</w:t>
            </w:r>
            <w:proofErr w:type="spellEnd"/>
            <w:r>
              <w:rPr>
                <w:sz w:val="16"/>
                <w:szCs w:val="16"/>
              </w:rPr>
              <w:t xml:space="preserve">  (2002)</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Guided tissue regeneration</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rPr>
                <w:sz w:val="16"/>
                <w:szCs w:val="16"/>
              </w:rPr>
            </w:pPr>
            <w:r>
              <w:rPr>
                <w:sz w:val="16"/>
                <w:szCs w:val="16"/>
              </w:rPr>
              <w:t xml:space="preserve">3-monthly for the first 2 years (OHI and </w:t>
            </w:r>
          </w:p>
          <w:p w:rsidR="002B2028" w:rsidRDefault="00A45ADA">
            <w:pPr>
              <w:pStyle w:val="Body"/>
              <w:rPr>
                <w:sz w:val="16"/>
                <w:szCs w:val="16"/>
              </w:rPr>
            </w:pPr>
            <w:r>
              <w:rPr>
                <w:sz w:val="16"/>
                <w:szCs w:val="16"/>
              </w:rPr>
              <w:t xml:space="preserve">professional tooth cleaning), then </w:t>
            </w:r>
          </w:p>
          <w:p w:rsidR="002B2028" w:rsidRDefault="00A45ADA">
            <w:pPr>
              <w:pStyle w:val="Body"/>
            </w:pPr>
            <w:r>
              <w:rPr>
                <w:sz w:val="16"/>
                <w:szCs w:val="16"/>
              </w:rPr>
              <w:t>3</w:t>
            </w:r>
            <w:r>
              <w:rPr>
                <w:rFonts w:hAnsi="Arial Unicode MS"/>
                <w:sz w:val="16"/>
                <w:szCs w:val="16"/>
              </w:rPr>
              <w:t>–</w:t>
            </w:r>
            <w:r>
              <w:rPr>
                <w:sz w:val="16"/>
                <w:szCs w:val="16"/>
              </w:rPr>
              <w:t>6-monthly maintenance visits according to individual periodontal risk.</w:t>
            </w:r>
          </w:p>
        </w:tc>
      </w:tr>
      <w:tr w:rsidR="002B2028">
        <w:trPr>
          <w:trHeight w:val="676"/>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lastRenderedPageBreak/>
              <w:t>Checchi</w:t>
            </w:r>
            <w:proofErr w:type="spellEnd"/>
            <w:r>
              <w:rPr>
                <w:sz w:val="16"/>
                <w:szCs w:val="16"/>
              </w:rPr>
              <w:t xml:space="preserve"> et al. (2002)</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OHI, SRP, re-evaluation and periodontal surgery</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3-4 monthly hygienist appointment recall</w:t>
            </w:r>
          </w:p>
        </w:tc>
      </w:tr>
      <w:tr w:rsidR="002B2028">
        <w:trPr>
          <w:trHeight w:val="760"/>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Dannewitz</w:t>
            </w:r>
            <w:proofErr w:type="spellEnd"/>
            <w:r>
              <w:rPr>
                <w:sz w:val="16"/>
                <w:szCs w:val="16"/>
              </w:rPr>
              <w:t xml:space="preserve"> et al. (2006)</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rPr>
                <w:sz w:val="16"/>
                <w:szCs w:val="16"/>
              </w:rPr>
            </w:pPr>
            <w:r>
              <w:rPr>
                <w:sz w:val="16"/>
                <w:szCs w:val="16"/>
              </w:rPr>
              <w:t>OHI, professional tooth cleaning, SRP</w:t>
            </w:r>
          </w:p>
          <w:p w:rsidR="002B2028" w:rsidRDefault="00A45ADA">
            <w:pPr>
              <w:pStyle w:val="Body"/>
            </w:pPr>
            <w:r>
              <w:rPr>
                <w:sz w:val="16"/>
                <w:szCs w:val="16"/>
              </w:rPr>
              <w:t>Surgical intervention included access flap surgery, GTR, tunneling, resective procedures or tooth extraction</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Generally 3- to  6- or 12-monthly (clinical measurements, plaque score  and if necessary re-instrumentation of sites with PPD of 4mm and BOP or </w:t>
            </w:r>
            <w:r>
              <w:rPr>
                <w:rFonts w:hAnsi="Arial Unicode MS"/>
                <w:sz w:val="16"/>
                <w:szCs w:val="16"/>
              </w:rPr>
              <w:t>≥</w:t>
            </w:r>
            <w:r>
              <w:rPr>
                <w:sz w:val="16"/>
                <w:szCs w:val="16"/>
              </w:rPr>
              <w:t xml:space="preserve"> 5mm</w:t>
            </w:r>
          </w:p>
        </w:tc>
      </w:tr>
      <w:tr w:rsidR="002B2028">
        <w:trPr>
          <w:trHeight w:val="676"/>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Pretzl</w:t>
            </w:r>
            <w:proofErr w:type="spellEnd"/>
            <w:r>
              <w:rPr>
                <w:sz w:val="16"/>
                <w:szCs w:val="16"/>
              </w:rPr>
              <w:t>. et al. (2008)</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Subgingival debridement under local </w:t>
            </w:r>
            <w:proofErr w:type="spellStart"/>
            <w:r>
              <w:rPr>
                <w:sz w:val="16"/>
                <w:szCs w:val="16"/>
              </w:rPr>
              <w:t>anaesthesia</w:t>
            </w:r>
            <w:proofErr w:type="spellEnd"/>
            <w:r>
              <w:rPr>
                <w:sz w:val="16"/>
                <w:szCs w:val="16"/>
              </w:rPr>
              <w:t xml:space="preserve"> and periodontal surgery if required</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rPr>
                <w:sz w:val="16"/>
                <w:szCs w:val="16"/>
              </w:rPr>
            </w:pPr>
            <w:r>
              <w:rPr>
                <w:sz w:val="16"/>
                <w:szCs w:val="16"/>
              </w:rPr>
              <w:t>3 to 6-monthly (OHI, professional tooth cleaning, polishing, application of a fluoride</w:t>
            </w:r>
          </w:p>
          <w:p w:rsidR="002B2028" w:rsidRDefault="00A45ADA">
            <w:pPr>
              <w:pStyle w:val="Body"/>
            </w:pPr>
            <w:r>
              <w:rPr>
                <w:sz w:val="16"/>
                <w:szCs w:val="16"/>
              </w:rPr>
              <w:t>Gel)</w:t>
            </w:r>
          </w:p>
        </w:tc>
      </w:tr>
      <w:tr w:rsidR="002B2028">
        <w:trPr>
          <w:trHeight w:val="713"/>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Zafiropoluos</w:t>
            </w:r>
            <w:proofErr w:type="spellEnd"/>
            <w:r>
              <w:rPr>
                <w:sz w:val="16"/>
                <w:szCs w:val="16"/>
              </w:rPr>
              <w:t xml:space="preserve"> et al. (2009)</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56 mandibular first or first and second molars were treated by </w:t>
            </w:r>
            <w:proofErr w:type="spellStart"/>
            <w:r>
              <w:rPr>
                <w:sz w:val="16"/>
                <w:szCs w:val="16"/>
              </w:rPr>
              <w:t>hemisection</w:t>
            </w:r>
            <w:proofErr w:type="spellEnd"/>
            <w:r>
              <w:rPr>
                <w:sz w:val="16"/>
                <w:szCs w:val="16"/>
              </w:rPr>
              <w:t xml:space="preserve"> (Group H, n=32). 36 implants in the mandible to replace </w:t>
            </w:r>
            <w:proofErr w:type="spellStart"/>
            <w:r>
              <w:rPr>
                <w:sz w:val="16"/>
                <w:szCs w:val="16"/>
              </w:rPr>
              <w:t>periodontally</w:t>
            </w:r>
            <w:proofErr w:type="spellEnd"/>
            <w:r>
              <w:rPr>
                <w:sz w:val="16"/>
                <w:szCs w:val="16"/>
              </w:rPr>
              <w:t xml:space="preserve"> involved first or first and second molars (Group I, n=28).</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6-monthly (OHI, supra- and subgingival debridement, polishing)  </w:t>
            </w:r>
          </w:p>
        </w:tc>
      </w:tr>
      <w:tr w:rsidR="002B2028">
        <w:trPr>
          <w:trHeight w:val="713"/>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Johansson et al. (2013)</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OH, supra- and sub-gingival scaling, selective periodontal surgeries (occasionally regenerative)</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3- to 4-monthly for 2 years by dental hygienists (then referred back to general dentist/hygienist for supportive care)</w:t>
            </w:r>
          </w:p>
        </w:tc>
      </w:tr>
      <w:tr w:rsidR="002B2028">
        <w:trPr>
          <w:trHeight w:val="713"/>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Miller et al. (2014)</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Non-surgical and surgical periodontal treatment</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Lasted for as long as the patient continued to be seen (periodontal health and oral hygiene assessment, retreatment and surgery when necessary)</w:t>
            </w:r>
          </w:p>
        </w:tc>
      </w:tr>
      <w:tr w:rsidR="002B2028">
        <w:trPr>
          <w:trHeight w:val="676"/>
        </w:trPr>
        <w:tc>
          <w:tcPr>
            <w:tcW w:w="1262"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Salvi</w:t>
            </w:r>
            <w:proofErr w:type="spellEnd"/>
            <w:r>
              <w:rPr>
                <w:sz w:val="16"/>
                <w:szCs w:val="16"/>
              </w:rPr>
              <w:t xml:space="preserve"> et al. (2014)</w:t>
            </w:r>
          </w:p>
        </w:tc>
        <w:tc>
          <w:tcPr>
            <w:tcW w:w="4416"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OHI, SRP, surgery if needed (OFD, regeneration, tunneling or resective surgery)</w:t>
            </w:r>
          </w:p>
        </w:tc>
        <w:tc>
          <w:tcPr>
            <w:tcW w:w="3119"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SPT at Department of Periodontology or private practice according to needs (some patients were </w:t>
            </w:r>
            <w:r>
              <w:rPr>
                <w:rFonts w:hAnsi="Arial Unicode MS"/>
                <w:sz w:val="16"/>
                <w:szCs w:val="16"/>
              </w:rPr>
              <w:t>‘</w:t>
            </w:r>
            <w:r>
              <w:rPr>
                <w:sz w:val="16"/>
                <w:szCs w:val="16"/>
              </w:rPr>
              <w:t>non-compliers</w:t>
            </w:r>
            <w:r>
              <w:rPr>
                <w:rFonts w:hAnsi="Arial Unicode MS"/>
                <w:sz w:val="16"/>
                <w:szCs w:val="16"/>
              </w:rPr>
              <w:t>’</w:t>
            </w:r>
            <w:r>
              <w:rPr>
                <w:sz w:val="16"/>
                <w:szCs w:val="16"/>
              </w:rPr>
              <w:t>)</w:t>
            </w:r>
          </w:p>
        </w:tc>
      </w:tr>
      <w:tr w:rsidR="002B2028">
        <w:trPr>
          <w:trHeight w:val="676"/>
        </w:trPr>
        <w:tc>
          <w:tcPr>
            <w:tcW w:w="1262" w:type="dxa"/>
            <w:tcBorders>
              <w:top w:val="nil"/>
              <w:left w:val="nil"/>
              <w:bottom w:val="single" w:sz="4" w:space="0" w:color="000000"/>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Graetz</w:t>
            </w:r>
            <w:proofErr w:type="spellEnd"/>
            <w:r>
              <w:rPr>
                <w:sz w:val="16"/>
                <w:szCs w:val="16"/>
              </w:rPr>
              <w:t xml:space="preserve"> et al. (2015)</w:t>
            </w:r>
          </w:p>
        </w:tc>
        <w:tc>
          <w:tcPr>
            <w:tcW w:w="4416" w:type="dxa"/>
            <w:tcBorders>
              <w:top w:val="nil"/>
              <w:left w:val="nil"/>
              <w:bottom w:val="single" w:sz="4" w:space="0" w:color="000000"/>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Subgingival debridement with manual and power-driven instruments, OFD in case of PPD </w:t>
            </w:r>
            <w:r>
              <w:rPr>
                <w:rFonts w:hAnsi="Arial Unicode MS"/>
                <w:sz w:val="16"/>
                <w:szCs w:val="16"/>
              </w:rPr>
              <w:t>≥</w:t>
            </w:r>
            <w:r>
              <w:rPr>
                <w:sz w:val="16"/>
                <w:szCs w:val="16"/>
              </w:rPr>
              <w:t xml:space="preserve"> 5mm with BOP or PPD</w:t>
            </w:r>
            <w:r>
              <w:rPr>
                <w:rFonts w:hAnsi="Arial Unicode MS"/>
                <w:sz w:val="16"/>
                <w:szCs w:val="16"/>
              </w:rPr>
              <w:t>≥</w:t>
            </w:r>
            <w:r>
              <w:rPr>
                <w:sz w:val="16"/>
                <w:szCs w:val="16"/>
              </w:rPr>
              <w:t xml:space="preserve"> 6mm (tunneling or root resection when needed)</w:t>
            </w:r>
          </w:p>
        </w:tc>
        <w:tc>
          <w:tcPr>
            <w:tcW w:w="3119" w:type="dxa"/>
            <w:tcBorders>
              <w:top w:val="nil"/>
              <w:left w:val="nil"/>
              <w:bottom w:val="single" w:sz="4" w:space="0" w:color="000000"/>
              <w:right w:val="nil"/>
            </w:tcBorders>
            <w:shd w:val="clear" w:color="auto" w:fill="auto"/>
            <w:tcMar>
              <w:top w:w="80" w:type="dxa"/>
              <w:left w:w="80" w:type="dxa"/>
              <w:bottom w:w="80" w:type="dxa"/>
              <w:right w:w="80" w:type="dxa"/>
            </w:tcMar>
          </w:tcPr>
          <w:p w:rsidR="002B2028" w:rsidRDefault="00A45ADA">
            <w:pPr>
              <w:pStyle w:val="Body"/>
            </w:pPr>
            <w:r>
              <w:rPr>
                <w:sz w:val="16"/>
                <w:szCs w:val="16"/>
              </w:rPr>
              <w:t>3- to 12-monthly (non-surgical or surgical subgingival debridement with or without antibiotic therapy)</w:t>
            </w:r>
          </w:p>
        </w:tc>
      </w:tr>
    </w:tbl>
    <w:p w:rsidR="002B2028" w:rsidRDefault="002B2028">
      <w:pPr>
        <w:pStyle w:val="Body"/>
        <w:widowControl w:val="0"/>
      </w:pPr>
    </w:p>
    <w:p w:rsidR="002B2028" w:rsidRDefault="002B2028">
      <w:pPr>
        <w:pStyle w:val="Body"/>
        <w:widowControl w:val="0"/>
      </w:pPr>
    </w:p>
    <w:p w:rsidR="0066417E" w:rsidRDefault="0066417E">
      <w:pPr>
        <w:pStyle w:val="Body"/>
        <w:spacing w:line="360" w:lineRule="auto"/>
        <w:jc w:val="center"/>
        <w:rPr>
          <w:b/>
          <w:bCs/>
          <w:sz w:val="20"/>
          <w:szCs w:val="20"/>
        </w:rPr>
      </w:pPr>
      <w:r>
        <w:rPr>
          <w:rFonts w:ascii="Times New Roman"/>
          <w:b/>
          <w:bCs/>
        </w:rPr>
        <w:t>Table 2</w:t>
      </w:r>
      <w:r w:rsidR="00A45ADA">
        <w:rPr>
          <w:b/>
          <w:bCs/>
          <w:sz w:val="20"/>
          <w:szCs w:val="20"/>
        </w:rPr>
        <w:br/>
      </w:r>
    </w:p>
    <w:p w:rsidR="0066417E" w:rsidRDefault="0066417E">
      <w:pPr>
        <w:rPr>
          <w:rFonts w:ascii="Cambria" w:eastAsia="Cambria" w:hAnsi="Cambria" w:cs="Cambria"/>
          <w:b/>
          <w:bCs/>
          <w:color w:val="000000"/>
          <w:sz w:val="20"/>
          <w:szCs w:val="20"/>
          <w:u w:color="000000"/>
          <w:lang w:eastAsia="en-GB"/>
        </w:rPr>
      </w:pPr>
      <w:r>
        <w:rPr>
          <w:b/>
          <w:bCs/>
          <w:sz w:val="20"/>
          <w:szCs w:val="20"/>
        </w:rPr>
        <w:br w:type="page"/>
      </w:r>
    </w:p>
    <w:p w:rsidR="002B2028" w:rsidRDefault="002B2028">
      <w:pPr>
        <w:pStyle w:val="Body"/>
        <w:spacing w:line="360" w:lineRule="auto"/>
        <w:jc w:val="center"/>
        <w:rPr>
          <w:b/>
          <w:bCs/>
          <w:sz w:val="20"/>
          <w:szCs w:val="20"/>
        </w:rPr>
      </w:pPr>
    </w:p>
    <w:p w:rsidR="002B2028" w:rsidRDefault="002B2028">
      <w:pPr>
        <w:pStyle w:val="Body"/>
        <w:widowControl w:val="0"/>
        <w:spacing w:line="360" w:lineRule="auto"/>
        <w:jc w:val="center"/>
        <w:rPr>
          <w:b/>
          <w:bCs/>
          <w:sz w:val="20"/>
          <w:szCs w:val="20"/>
        </w:rPr>
      </w:pPr>
    </w:p>
    <w:tbl>
      <w:tblPr>
        <w:tblW w:w="83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00"/>
        <w:gridCol w:w="1780"/>
        <w:gridCol w:w="1560"/>
        <w:gridCol w:w="1860"/>
      </w:tblGrid>
      <w:tr w:rsidR="002B2028">
        <w:trPr>
          <w:trHeight w:val="300"/>
          <w:jc w:val="center"/>
        </w:trPr>
        <w:tc>
          <w:tcPr>
            <w:tcW w:w="31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rsidR="002B2028" w:rsidRDefault="00A45ADA">
            <w:pPr>
              <w:pStyle w:val="Body"/>
              <w:jc w:val="center"/>
            </w:pPr>
            <w:r>
              <w:rPr>
                <w:rFonts w:ascii="Times New Roman"/>
                <w:b/>
                <w:bCs/>
              </w:rPr>
              <w:t>Study</w:t>
            </w:r>
          </w:p>
        </w:tc>
        <w:tc>
          <w:tcPr>
            <w:tcW w:w="178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rsidR="002B2028" w:rsidRDefault="00A45ADA">
            <w:pPr>
              <w:pStyle w:val="Body"/>
              <w:jc w:val="center"/>
            </w:pPr>
            <w:r>
              <w:rPr>
                <w:rFonts w:ascii="Times New Roman"/>
                <w:b/>
                <w:bCs/>
              </w:rPr>
              <w:t>Selection</w:t>
            </w:r>
          </w:p>
        </w:tc>
        <w:tc>
          <w:tcPr>
            <w:tcW w:w="156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rsidR="002B2028" w:rsidRDefault="00A45ADA">
            <w:pPr>
              <w:pStyle w:val="Body"/>
              <w:jc w:val="center"/>
            </w:pPr>
            <w:r>
              <w:rPr>
                <w:rFonts w:ascii="Times New Roman"/>
                <w:b/>
                <w:bCs/>
              </w:rPr>
              <w:t>Comparison</w:t>
            </w:r>
          </w:p>
        </w:tc>
        <w:tc>
          <w:tcPr>
            <w:tcW w:w="186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rsidR="002B2028" w:rsidRDefault="00A45ADA">
            <w:pPr>
              <w:pStyle w:val="Body"/>
              <w:jc w:val="center"/>
            </w:pPr>
            <w:r>
              <w:rPr>
                <w:rFonts w:ascii="Times New Roman"/>
                <w:b/>
                <w:bCs/>
              </w:rPr>
              <w:t>Outcome</w:t>
            </w:r>
          </w:p>
        </w:tc>
      </w:tr>
      <w:tr w:rsidR="002B2028">
        <w:trPr>
          <w:trHeight w:val="345"/>
          <w:jc w:val="center"/>
        </w:trPr>
        <w:tc>
          <w:tcPr>
            <w:tcW w:w="3100" w:type="dxa"/>
            <w:tcBorders>
              <w:top w:val="single" w:sz="4" w:space="0" w:color="000000"/>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Lindhe</w:t>
            </w:r>
            <w:proofErr w:type="spellEnd"/>
            <w:r>
              <w:rPr>
                <w:sz w:val="16"/>
                <w:szCs w:val="16"/>
              </w:rPr>
              <w:t xml:space="preserve"> &amp; Nyman (1975)</w:t>
            </w:r>
          </w:p>
        </w:tc>
        <w:tc>
          <w:tcPr>
            <w:tcW w:w="178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Hirschfeld</w:t>
            </w:r>
            <w:proofErr w:type="spellEnd"/>
            <w:r>
              <w:rPr>
                <w:sz w:val="16"/>
                <w:szCs w:val="16"/>
              </w:rPr>
              <w:t xml:space="preserve"> &amp; Wasserman (1978)</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McFall</w:t>
            </w:r>
            <w:proofErr w:type="spellEnd"/>
            <w:r>
              <w:rPr>
                <w:sz w:val="16"/>
                <w:szCs w:val="16"/>
              </w:rPr>
              <w:t xml:space="preserve"> (1982)</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Goldman et al. (1986)</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Wood et al. (1989)</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Kuhrau</w:t>
            </w:r>
            <w:proofErr w:type="spellEnd"/>
            <w:r>
              <w:rPr>
                <w:sz w:val="16"/>
                <w:szCs w:val="16"/>
              </w:rPr>
              <w:t xml:space="preserve"> et al. (1990)</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Wang et al. (1994)</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 xml:space="preserve">Little et al.(1995) </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hAnsi="Arial Unicode MS"/>
              </w:rPr>
              <w:t>★★</w:t>
            </w:r>
          </w:p>
        </w:tc>
        <w:tc>
          <w:tcPr>
            <w:tcW w:w="1560" w:type="dxa"/>
            <w:tcBorders>
              <w:top w:val="nil"/>
              <w:left w:val="nil"/>
              <w:bottom w:val="nil"/>
              <w:right w:val="nil"/>
            </w:tcBorders>
            <w:shd w:val="clear" w:color="auto" w:fill="auto"/>
            <w:tcMar>
              <w:top w:w="80" w:type="dxa"/>
              <w:left w:w="80" w:type="dxa"/>
              <w:bottom w:w="80" w:type="dxa"/>
              <w:right w:w="80" w:type="dxa"/>
            </w:tcMar>
            <w:vAlign w:val="bottom"/>
          </w:tcPr>
          <w:p w:rsidR="002B2028" w:rsidRDefault="00A45ADA">
            <w:pPr>
              <w:pStyle w:val="Body"/>
              <w:jc w:val="center"/>
            </w:pPr>
            <w:r>
              <w:rPr>
                <w:rFonts w:ascii="Times New Roman"/>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McGuire &amp; Nunn (1996)</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hAnsi="Arial Unicode MS"/>
              </w:rPr>
              <w:t>★★</w:t>
            </w:r>
          </w:p>
        </w:tc>
        <w:tc>
          <w:tcPr>
            <w:tcW w:w="1560" w:type="dxa"/>
            <w:tcBorders>
              <w:top w:val="nil"/>
              <w:left w:val="nil"/>
              <w:bottom w:val="nil"/>
              <w:right w:val="nil"/>
            </w:tcBorders>
            <w:shd w:val="clear" w:color="auto" w:fill="auto"/>
            <w:tcMar>
              <w:top w:w="80" w:type="dxa"/>
              <w:left w:w="80" w:type="dxa"/>
              <w:bottom w:w="80" w:type="dxa"/>
              <w:right w:w="80" w:type="dxa"/>
            </w:tcMar>
            <w:vAlign w:val="bottom"/>
          </w:tcPr>
          <w:p w:rsidR="002B2028" w:rsidRDefault="00A45ADA">
            <w:pPr>
              <w:pStyle w:val="Body"/>
              <w:jc w:val="center"/>
            </w:pPr>
            <w:r>
              <w:rPr>
                <w:rFonts w:ascii="Times New Roman"/>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Haney et al. (1997)</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Yukna</w:t>
            </w:r>
            <w:proofErr w:type="spellEnd"/>
            <w:r>
              <w:rPr>
                <w:sz w:val="16"/>
                <w:szCs w:val="16"/>
              </w:rPr>
              <w:t xml:space="preserve"> &amp; </w:t>
            </w:r>
            <w:proofErr w:type="spellStart"/>
            <w:r>
              <w:rPr>
                <w:sz w:val="16"/>
                <w:szCs w:val="16"/>
              </w:rPr>
              <w:t>Yukna</w:t>
            </w:r>
            <w:proofErr w:type="spellEnd"/>
            <w:r>
              <w:rPr>
                <w:sz w:val="16"/>
                <w:szCs w:val="16"/>
              </w:rPr>
              <w:t xml:space="preserve"> (1997)</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Times New Roman"/>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McLeod et al. (1998)</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Eickholz</w:t>
            </w:r>
            <w:proofErr w:type="spellEnd"/>
            <w:r>
              <w:rPr>
                <w:sz w:val="16"/>
                <w:szCs w:val="16"/>
              </w:rPr>
              <w:t xml:space="preserve"> &amp; </w:t>
            </w:r>
            <w:proofErr w:type="spellStart"/>
            <w:r>
              <w:rPr>
                <w:sz w:val="16"/>
                <w:szCs w:val="16"/>
              </w:rPr>
              <w:t>Hausmann</w:t>
            </w:r>
            <w:proofErr w:type="spellEnd"/>
            <w:r>
              <w:rPr>
                <w:sz w:val="16"/>
                <w:szCs w:val="16"/>
              </w:rPr>
              <w:t xml:space="preserve">  (2002)</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Checchi</w:t>
            </w:r>
            <w:proofErr w:type="spellEnd"/>
            <w:r>
              <w:rPr>
                <w:sz w:val="16"/>
                <w:szCs w:val="16"/>
              </w:rPr>
              <w:t xml:space="preserve"> et al. (2002)</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Dannewitz</w:t>
            </w:r>
            <w:proofErr w:type="spellEnd"/>
            <w:r>
              <w:rPr>
                <w:sz w:val="16"/>
                <w:szCs w:val="16"/>
              </w:rPr>
              <w:t xml:space="preserve"> et al. (2006)</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Pretzl</w:t>
            </w:r>
            <w:proofErr w:type="spellEnd"/>
            <w:r>
              <w:rPr>
                <w:sz w:val="16"/>
                <w:szCs w:val="16"/>
              </w:rPr>
              <w:t>. et al. (2008)</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Zafiropoluos</w:t>
            </w:r>
            <w:proofErr w:type="spellEnd"/>
            <w:r>
              <w:rPr>
                <w:sz w:val="16"/>
                <w:szCs w:val="16"/>
              </w:rPr>
              <w:t xml:space="preserve"> et al. (2009)</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Times New Roman"/>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Johansson et al. (2013)</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r>
              <w:rPr>
                <w:sz w:val="16"/>
                <w:szCs w:val="16"/>
              </w:rPr>
              <w:t>Miller et al. (2014)</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0"/>
          <w:jc w:val="center"/>
        </w:trPr>
        <w:tc>
          <w:tcPr>
            <w:tcW w:w="3100" w:type="dxa"/>
            <w:tcBorders>
              <w:top w:val="nil"/>
              <w:left w:val="nil"/>
              <w:bottom w:val="nil"/>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Salvi</w:t>
            </w:r>
            <w:proofErr w:type="spellEnd"/>
            <w:r>
              <w:rPr>
                <w:sz w:val="16"/>
                <w:szCs w:val="16"/>
              </w:rPr>
              <w:t xml:space="preserve"> et al. (2014)</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nil"/>
              <w:left w:val="nil"/>
              <w:bottom w:val="nil"/>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r w:rsidR="002B2028">
        <w:trPr>
          <w:trHeight w:val="345"/>
          <w:jc w:val="center"/>
        </w:trPr>
        <w:tc>
          <w:tcPr>
            <w:tcW w:w="3100" w:type="dxa"/>
            <w:tcBorders>
              <w:top w:val="nil"/>
              <w:left w:val="nil"/>
              <w:bottom w:val="single" w:sz="4" w:space="0" w:color="000000"/>
              <w:right w:val="nil"/>
            </w:tcBorders>
            <w:shd w:val="clear" w:color="auto" w:fill="auto"/>
            <w:tcMar>
              <w:top w:w="80" w:type="dxa"/>
              <w:left w:w="80" w:type="dxa"/>
              <w:bottom w:w="80" w:type="dxa"/>
              <w:right w:w="80" w:type="dxa"/>
            </w:tcMar>
          </w:tcPr>
          <w:p w:rsidR="002B2028" w:rsidRDefault="00A45ADA">
            <w:pPr>
              <w:pStyle w:val="Body"/>
            </w:pPr>
            <w:proofErr w:type="spellStart"/>
            <w:r>
              <w:rPr>
                <w:sz w:val="16"/>
                <w:szCs w:val="16"/>
              </w:rPr>
              <w:t>Graetz</w:t>
            </w:r>
            <w:proofErr w:type="spellEnd"/>
            <w:r>
              <w:rPr>
                <w:sz w:val="16"/>
                <w:szCs w:val="16"/>
              </w:rPr>
              <w:t xml:space="preserve"> et al. (2015)</w:t>
            </w:r>
          </w:p>
        </w:tc>
        <w:tc>
          <w:tcPr>
            <w:tcW w:w="178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5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c>
          <w:tcPr>
            <w:tcW w:w="18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B2028" w:rsidRDefault="00A45ADA">
            <w:pPr>
              <w:pStyle w:val="Body"/>
              <w:jc w:val="center"/>
            </w:pPr>
            <w:r>
              <w:rPr>
                <w:rFonts w:ascii="Segoe UI Symbol" w:eastAsia="Segoe UI Symbol" w:hAnsi="Segoe UI Symbol" w:cs="Segoe UI Symbol"/>
              </w:rPr>
              <w:t>★★</w:t>
            </w:r>
          </w:p>
        </w:tc>
      </w:tr>
    </w:tbl>
    <w:p w:rsidR="002B2028" w:rsidRDefault="002B2028">
      <w:pPr>
        <w:pStyle w:val="Body"/>
        <w:widowControl w:val="0"/>
        <w:jc w:val="center"/>
        <w:rPr>
          <w:b/>
          <w:bCs/>
          <w:sz w:val="20"/>
          <w:szCs w:val="20"/>
        </w:rPr>
      </w:pPr>
    </w:p>
    <w:p w:rsidR="002B2028" w:rsidRDefault="0066417E">
      <w:pPr>
        <w:pStyle w:val="Body"/>
        <w:spacing w:line="360" w:lineRule="auto"/>
        <w:jc w:val="center"/>
      </w:pPr>
      <w:r>
        <w:rPr>
          <w:b/>
          <w:bCs/>
        </w:rPr>
        <w:t>Table 3</w:t>
      </w:r>
    </w:p>
    <w:p w:rsidR="0066417E" w:rsidRDefault="0066417E">
      <w:pPr>
        <w:pStyle w:val="Body"/>
        <w:spacing w:line="360" w:lineRule="auto"/>
        <w:jc w:val="center"/>
      </w:pPr>
    </w:p>
    <w:sectPr w:rsidR="0066417E">
      <w:headerReference w:type="default" r:id="rId9"/>
      <w:footerReference w:type="default" r:id="rId10"/>
      <w:pgSz w:w="11900" w:h="16820"/>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BA0" w:rsidRDefault="00092BA0">
      <w:r>
        <w:separator/>
      </w:r>
    </w:p>
  </w:endnote>
  <w:endnote w:type="continuationSeparator" w:id="0">
    <w:p w:rsidR="00092BA0" w:rsidRDefault="0009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UnicodeMS">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9B2" w:rsidRDefault="002369B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BA0" w:rsidRDefault="00092BA0">
      <w:r>
        <w:separator/>
      </w:r>
    </w:p>
  </w:footnote>
  <w:footnote w:type="continuationSeparator" w:id="0">
    <w:p w:rsidR="00092BA0" w:rsidRDefault="00092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9B2" w:rsidRDefault="002369B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254F"/>
    <w:multiLevelType w:val="multilevel"/>
    <w:tmpl w:val="1CE01752"/>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B893602"/>
    <w:multiLevelType w:val="multilevel"/>
    <w:tmpl w:val="2FDE9F2C"/>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F8F0B12"/>
    <w:multiLevelType w:val="multilevel"/>
    <w:tmpl w:val="E0FA6B7E"/>
    <w:styleLink w:val="List41"/>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11"/>
        </w:tabs>
        <w:ind w:left="1411" w:hanging="331"/>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nsid w:val="1B245D73"/>
    <w:multiLevelType w:val="multilevel"/>
    <w:tmpl w:val="9180567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B9978E9"/>
    <w:multiLevelType w:val="multilevel"/>
    <w:tmpl w:val="87D0A75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1BBE03DD"/>
    <w:multiLevelType w:val="multilevel"/>
    <w:tmpl w:val="C28E721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1BCE5CA2"/>
    <w:multiLevelType w:val="multilevel"/>
    <w:tmpl w:val="06565F2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BED0952"/>
    <w:multiLevelType w:val="multilevel"/>
    <w:tmpl w:val="8F38E3B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1CB8637D"/>
    <w:multiLevelType w:val="multilevel"/>
    <w:tmpl w:val="E31E7E0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1"/>
        </w:tabs>
        <w:ind w:left="1411" w:hanging="331"/>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
    <w:nsid w:val="1ED5174D"/>
    <w:multiLevelType w:val="multilevel"/>
    <w:tmpl w:val="3C3E9FD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0">
    <w:nsid w:val="232862BA"/>
    <w:multiLevelType w:val="multilevel"/>
    <w:tmpl w:val="96C8F1D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2407564B"/>
    <w:multiLevelType w:val="multilevel"/>
    <w:tmpl w:val="7C8A3DD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245227C8"/>
    <w:multiLevelType w:val="multilevel"/>
    <w:tmpl w:val="DDA46244"/>
    <w:styleLink w:val="List31"/>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11"/>
        </w:tabs>
        <w:ind w:left="1411" w:hanging="331"/>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
    <w:nsid w:val="26350160"/>
    <w:multiLevelType w:val="multilevel"/>
    <w:tmpl w:val="F0DCB4B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39955647"/>
    <w:multiLevelType w:val="multilevel"/>
    <w:tmpl w:val="57F6E640"/>
    <w:styleLink w:val="List0"/>
    <w:lvl w:ilvl="0">
      <w:start w:val="1"/>
      <w:numFmt w:val="bullet"/>
      <w:lvlText w:val="-"/>
      <w:lvlJc w:val="left"/>
      <w:pPr>
        <w:tabs>
          <w:tab w:val="num" w:pos="720"/>
        </w:tabs>
        <w:ind w:left="720" w:hanging="360"/>
      </w:pPr>
      <w:rPr>
        <w:color w:val="000000"/>
        <w:position w:val="0"/>
        <w:sz w:val="24"/>
        <w:szCs w:val="24"/>
      </w:rPr>
    </w:lvl>
    <w:lvl w:ilvl="1">
      <w:numFmt w:val="bullet"/>
      <w:lvlText w:val="o"/>
      <w:lvlJc w:val="left"/>
      <w:pPr>
        <w:tabs>
          <w:tab w:val="num" w:pos="1411"/>
        </w:tabs>
        <w:ind w:left="1411" w:hanging="331"/>
      </w:pPr>
      <w:rPr>
        <w:color w:val="000000"/>
        <w:position w:val="0"/>
        <w:sz w:val="22"/>
        <w:szCs w:val="22"/>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5">
    <w:nsid w:val="411A34CD"/>
    <w:multiLevelType w:val="multilevel"/>
    <w:tmpl w:val="C34CC19A"/>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1"/>
        </w:tabs>
        <w:ind w:left="1411" w:hanging="331"/>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6">
    <w:nsid w:val="54E51B14"/>
    <w:multiLevelType w:val="multilevel"/>
    <w:tmpl w:val="07CA3888"/>
    <w:lvl w:ilvl="0">
      <w:start w:val="1"/>
      <w:numFmt w:val="bullet"/>
      <w:lvlText w:val="-"/>
      <w:lvlJc w:val="left"/>
      <w:pPr>
        <w:tabs>
          <w:tab w:val="num" w:pos="720"/>
        </w:tabs>
        <w:ind w:left="720" w:hanging="360"/>
      </w:pPr>
      <w:rPr>
        <w:rFonts w:ascii="ArialUnicodeMS" w:eastAsia="ArialUnicodeMS" w:hAnsi="ArialUnicodeMS" w:cs="ArialUnicodeMS"/>
        <w:position w:val="0"/>
        <w:sz w:val="24"/>
        <w:szCs w:val="24"/>
        <w:lang w:val="en-US"/>
      </w:rPr>
    </w:lvl>
    <w:lvl w:ilvl="1">
      <w:start w:val="1"/>
      <w:numFmt w:val="bullet"/>
      <w:lvlText w:val="o"/>
      <w:lvlJc w:val="left"/>
      <w:pPr>
        <w:tabs>
          <w:tab w:val="num" w:pos="1411"/>
        </w:tabs>
        <w:ind w:left="1411" w:hanging="331"/>
      </w:pPr>
      <w:rPr>
        <w:rFonts w:ascii="ArialUnicodeMS" w:eastAsia="ArialUnicodeMS" w:hAnsi="ArialUnicodeMS" w:cs="ArialUnicodeMS"/>
        <w:position w:val="0"/>
        <w:sz w:val="24"/>
        <w:szCs w:val="24"/>
        <w:lang w:val="en-US"/>
      </w:rPr>
    </w:lvl>
    <w:lvl w:ilvl="2">
      <w:start w:val="1"/>
      <w:numFmt w:val="bullet"/>
      <w:lvlText w:val="▪"/>
      <w:lvlJc w:val="left"/>
      <w:pPr>
        <w:tabs>
          <w:tab w:val="num" w:pos="2160"/>
        </w:tabs>
        <w:ind w:left="2160" w:hanging="360"/>
      </w:pPr>
      <w:rPr>
        <w:rFonts w:ascii="ArialUnicodeMS" w:eastAsia="ArialUnicodeMS" w:hAnsi="ArialUnicodeMS" w:cs="ArialUnicodeMS"/>
        <w:position w:val="0"/>
        <w:sz w:val="24"/>
        <w:szCs w:val="24"/>
        <w:lang w:val="en-US"/>
      </w:rPr>
    </w:lvl>
    <w:lvl w:ilvl="3">
      <w:start w:val="1"/>
      <w:numFmt w:val="bullet"/>
      <w:lvlText w:val="•"/>
      <w:lvlJc w:val="left"/>
      <w:pPr>
        <w:tabs>
          <w:tab w:val="num" w:pos="2880"/>
        </w:tabs>
        <w:ind w:left="2880" w:hanging="360"/>
      </w:pPr>
      <w:rPr>
        <w:rFonts w:ascii="ArialUnicodeMS" w:eastAsia="ArialUnicodeMS" w:hAnsi="ArialUnicodeMS" w:cs="ArialUnicodeMS"/>
        <w:position w:val="0"/>
        <w:sz w:val="24"/>
        <w:szCs w:val="24"/>
        <w:lang w:val="en-US"/>
      </w:rPr>
    </w:lvl>
    <w:lvl w:ilvl="4">
      <w:start w:val="1"/>
      <w:numFmt w:val="bullet"/>
      <w:lvlText w:val="o"/>
      <w:lvlJc w:val="left"/>
      <w:pPr>
        <w:tabs>
          <w:tab w:val="num" w:pos="3600"/>
        </w:tabs>
        <w:ind w:left="3600" w:hanging="360"/>
      </w:pPr>
      <w:rPr>
        <w:rFonts w:ascii="ArialUnicodeMS" w:eastAsia="ArialUnicodeMS" w:hAnsi="ArialUnicodeMS" w:cs="ArialUnicodeMS"/>
        <w:position w:val="0"/>
        <w:sz w:val="24"/>
        <w:szCs w:val="24"/>
        <w:lang w:val="en-US"/>
      </w:rPr>
    </w:lvl>
    <w:lvl w:ilvl="5">
      <w:start w:val="1"/>
      <w:numFmt w:val="bullet"/>
      <w:lvlText w:val="▪"/>
      <w:lvlJc w:val="left"/>
      <w:pPr>
        <w:tabs>
          <w:tab w:val="num" w:pos="4320"/>
        </w:tabs>
        <w:ind w:left="4320" w:hanging="360"/>
      </w:pPr>
      <w:rPr>
        <w:rFonts w:ascii="ArialUnicodeMS" w:eastAsia="ArialUnicodeMS" w:hAnsi="ArialUnicodeMS" w:cs="ArialUnicodeMS"/>
        <w:position w:val="0"/>
        <w:sz w:val="24"/>
        <w:szCs w:val="24"/>
        <w:lang w:val="en-US"/>
      </w:rPr>
    </w:lvl>
    <w:lvl w:ilvl="6">
      <w:start w:val="1"/>
      <w:numFmt w:val="bullet"/>
      <w:lvlText w:val="•"/>
      <w:lvlJc w:val="left"/>
      <w:pPr>
        <w:tabs>
          <w:tab w:val="num" w:pos="5040"/>
        </w:tabs>
        <w:ind w:left="5040" w:hanging="360"/>
      </w:pPr>
      <w:rPr>
        <w:rFonts w:ascii="ArialUnicodeMS" w:eastAsia="ArialUnicodeMS" w:hAnsi="ArialUnicodeMS" w:cs="ArialUnicodeMS"/>
        <w:position w:val="0"/>
        <w:sz w:val="24"/>
        <w:szCs w:val="24"/>
        <w:lang w:val="en-US"/>
      </w:rPr>
    </w:lvl>
    <w:lvl w:ilvl="7">
      <w:start w:val="1"/>
      <w:numFmt w:val="bullet"/>
      <w:lvlText w:val="o"/>
      <w:lvlJc w:val="left"/>
      <w:pPr>
        <w:tabs>
          <w:tab w:val="num" w:pos="5760"/>
        </w:tabs>
        <w:ind w:left="5760" w:hanging="360"/>
      </w:pPr>
      <w:rPr>
        <w:rFonts w:ascii="ArialUnicodeMS" w:eastAsia="ArialUnicodeMS" w:hAnsi="ArialUnicodeMS" w:cs="ArialUnicodeMS"/>
        <w:position w:val="0"/>
        <w:sz w:val="24"/>
        <w:szCs w:val="24"/>
        <w:lang w:val="en-US"/>
      </w:rPr>
    </w:lvl>
    <w:lvl w:ilvl="8">
      <w:start w:val="1"/>
      <w:numFmt w:val="bullet"/>
      <w:lvlText w:val="▪"/>
      <w:lvlJc w:val="left"/>
      <w:pPr>
        <w:tabs>
          <w:tab w:val="num" w:pos="6480"/>
        </w:tabs>
        <w:ind w:left="6480" w:hanging="360"/>
      </w:pPr>
      <w:rPr>
        <w:rFonts w:ascii="ArialUnicodeMS" w:eastAsia="ArialUnicodeMS" w:hAnsi="ArialUnicodeMS" w:cs="ArialUnicodeMS"/>
        <w:position w:val="0"/>
        <w:sz w:val="24"/>
        <w:szCs w:val="24"/>
        <w:lang w:val="en-US"/>
      </w:rPr>
    </w:lvl>
  </w:abstractNum>
  <w:abstractNum w:abstractNumId="17">
    <w:nsid w:val="59FA22DE"/>
    <w:multiLevelType w:val="multilevel"/>
    <w:tmpl w:val="9D009E38"/>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11"/>
        </w:tabs>
        <w:ind w:left="1411" w:hanging="331"/>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8">
    <w:nsid w:val="5A734956"/>
    <w:multiLevelType w:val="multilevel"/>
    <w:tmpl w:val="4B5A501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6AA4443"/>
    <w:multiLevelType w:val="multilevel"/>
    <w:tmpl w:val="0B5037B8"/>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1"/>
        </w:tabs>
        <w:ind w:left="1411" w:hanging="331"/>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0">
    <w:nsid w:val="66D307E1"/>
    <w:multiLevelType w:val="multilevel"/>
    <w:tmpl w:val="CEE4B786"/>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69971E45"/>
    <w:multiLevelType w:val="multilevel"/>
    <w:tmpl w:val="F1806D0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69E550B4"/>
    <w:multiLevelType w:val="multilevel"/>
    <w:tmpl w:val="A118AA72"/>
    <w:styleLink w:val="List1"/>
    <w:lvl w:ilvl="0">
      <w:start w:val="1"/>
      <w:numFmt w:val="bullet"/>
      <w:lvlText w:val="-"/>
      <w:lvlJc w:val="left"/>
      <w:pPr>
        <w:tabs>
          <w:tab w:val="num" w:pos="720"/>
        </w:tabs>
        <w:ind w:left="720" w:hanging="360"/>
      </w:pPr>
      <w:rPr>
        <w:rFonts w:ascii="ArialUnicodeMS" w:eastAsia="ArialUnicodeMS" w:hAnsi="ArialUnicodeMS" w:cs="ArialUnicodeMS"/>
        <w:position w:val="0"/>
        <w:sz w:val="24"/>
        <w:szCs w:val="24"/>
        <w:lang w:val="en-US"/>
      </w:rPr>
    </w:lvl>
    <w:lvl w:ilvl="1">
      <w:numFmt w:val="bullet"/>
      <w:lvlText w:val="o"/>
      <w:lvlJc w:val="left"/>
      <w:pPr>
        <w:tabs>
          <w:tab w:val="num" w:pos="1411"/>
        </w:tabs>
        <w:ind w:left="1411" w:hanging="331"/>
      </w:pPr>
      <w:rPr>
        <w:rFonts w:ascii="Times New Roman" w:eastAsia="Times New Roman" w:hAnsi="Times New Roman" w:cs="Times New Roman"/>
        <w:position w:val="0"/>
        <w:sz w:val="22"/>
        <w:szCs w:val="22"/>
        <w:lang w:val="en-US"/>
      </w:rPr>
    </w:lvl>
    <w:lvl w:ilvl="2">
      <w:start w:val="1"/>
      <w:numFmt w:val="bullet"/>
      <w:lvlText w:val="▪"/>
      <w:lvlJc w:val="left"/>
      <w:pPr>
        <w:tabs>
          <w:tab w:val="num" w:pos="2160"/>
        </w:tabs>
        <w:ind w:left="2160" w:hanging="360"/>
      </w:pPr>
      <w:rPr>
        <w:rFonts w:ascii="ArialUnicodeMS" w:eastAsia="ArialUnicodeMS" w:hAnsi="ArialUnicodeMS" w:cs="ArialUnicodeMS"/>
        <w:position w:val="0"/>
        <w:sz w:val="24"/>
        <w:szCs w:val="24"/>
        <w:lang w:val="en-US"/>
      </w:rPr>
    </w:lvl>
    <w:lvl w:ilvl="3">
      <w:start w:val="1"/>
      <w:numFmt w:val="bullet"/>
      <w:lvlText w:val="•"/>
      <w:lvlJc w:val="left"/>
      <w:pPr>
        <w:tabs>
          <w:tab w:val="num" w:pos="2880"/>
        </w:tabs>
        <w:ind w:left="2880" w:hanging="360"/>
      </w:pPr>
      <w:rPr>
        <w:rFonts w:ascii="ArialUnicodeMS" w:eastAsia="ArialUnicodeMS" w:hAnsi="ArialUnicodeMS" w:cs="ArialUnicodeMS"/>
        <w:position w:val="0"/>
        <w:sz w:val="24"/>
        <w:szCs w:val="24"/>
        <w:lang w:val="en-US"/>
      </w:rPr>
    </w:lvl>
    <w:lvl w:ilvl="4">
      <w:start w:val="1"/>
      <w:numFmt w:val="bullet"/>
      <w:lvlText w:val="o"/>
      <w:lvlJc w:val="left"/>
      <w:pPr>
        <w:tabs>
          <w:tab w:val="num" w:pos="3600"/>
        </w:tabs>
        <w:ind w:left="3600" w:hanging="360"/>
      </w:pPr>
      <w:rPr>
        <w:rFonts w:ascii="ArialUnicodeMS" w:eastAsia="ArialUnicodeMS" w:hAnsi="ArialUnicodeMS" w:cs="ArialUnicodeMS"/>
        <w:position w:val="0"/>
        <w:sz w:val="24"/>
        <w:szCs w:val="24"/>
        <w:lang w:val="en-US"/>
      </w:rPr>
    </w:lvl>
    <w:lvl w:ilvl="5">
      <w:start w:val="1"/>
      <w:numFmt w:val="bullet"/>
      <w:lvlText w:val="▪"/>
      <w:lvlJc w:val="left"/>
      <w:pPr>
        <w:tabs>
          <w:tab w:val="num" w:pos="4320"/>
        </w:tabs>
        <w:ind w:left="4320" w:hanging="360"/>
      </w:pPr>
      <w:rPr>
        <w:rFonts w:ascii="ArialUnicodeMS" w:eastAsia="ArialUnicodeMS" w:hAnsi="ArialUnicodeMS" w:cs="ArialUnicodeMS"/>
        <w:position w:val="0"/>
        <w:sz w:val="24"/>
        <w:szCs w:val="24"/>
        <w:lang w:val="en-US"/>
      </w:rPr>
    </w:lvl>
    <w:lvl w:ilvl="6">
      <w:start w:val="1"/>
      <w:numFmt w:val="bullet"/>
      <w:lvlText w:val="•"/>
      <w:lvlJc w:val="left"/>
      <w:pPr>
        <w:tabs>
          <w:tab w:val="num" w:pos="5040"/>
        </w:tabs>
        <w:ind w:left="5040" w:hanging="360"/>
      </w:pPr>
      <w:rPr>
        <w:rFonts w:ascii="ArialUnicodeMS" w:eastAsia="ArialUnicodeMS" w:hAnsi="ArialUnicodeMS" w:cs="ArialUnicodeMS"/>
        <w:position w:val="0"/>
        <w:sz w:val="24"/>
        <w:szCs w:val="24"/>
        <w:lang w:val="en-US"/>
      </w:rPr>
    </w:lvl>
    <w:lvl w:ilvl="7">
      <w:start w:val="1"/>
      <w:numFmt w:val="bullet"/>
      <w:lvlText w:val="o"/>
      <w:lvlJc w:val="left"/>
      <w:pPr>
        <w:tabs>
          <w:tab w:val="num" w:pos="5760"/>
        </w:tabs>
        <w:ind w:left="5760" w:hanging="360"/>
      </w:pPr>
      <w:rPr>
        <w:rFonts w:ascii="ArialUnicodeMS" w:eastAsia="ArialUnicodeMS" w:hAnsi="ArialUnicodeMS" w:cs="ArialUnicodeMS"/>
        <w:position w:val="0"/>
        <w:sz w:val="24"/>
        <w:szCs w:val="24"/>
        <w:lang w:val="en-US"/>
      </w:rPr>
    </w:lvl>
    <w:lvl w:ilvl="8">
      <w:start w:val="1"/>
      <w:numFmt w:val="bullet"/>
      <w:lvlText w:val="▪"/>
      <w:lvlJc w:val="left"/>
      <w:pPr>
        <w:tabs>
          <w:tab w:val="num" w:pos="6480"/>
        </w:tabs>
        <w:ind w:left="6480" w:hanging="360"/>
      </w:pPr>
      <w:rPr>
        <w:rFonts w:ascii="ArialUnicodeMS" w:eastAsia="ArialUnicodeMS" w:hAnsi="ArialUnicodeMS" w:cs="ArialUnicodeMS"/>
        <w:position w:val="0"/>
        <w:sz w:val="24"/>
        <w:szCs w:val="24"/>
        <w:lang w:val="en-US"/>
      </w:rPr>
    </w:lvl>
  </w:abstractNum>
  <w:abstractNum w:abstractNumId="23">
    <w:nsid w:val="757E2AF8"/>
    <w:multiLevelType w:val="multilevel"/>
    <w:tmpl w:val="37309B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78BA3CDE"/>
    <w:multiLevelType w:val="multilevel"/>
    <w:tmpl w:val="8BB08230"/>
    <w:styleLink w:val="List21"/>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11"/>
        </w:tabs>
        <w:ind w:left="1411" w:hanging="331"/>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5">
    <w:nsid w:val="7A334C6C"/>
    <w:multiLevelType w:val="multilevel"/>
    <w:tmpl w:val="35207BA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7DBC6009"/>
    <w:multiLevelType w:val="multilevel"/>
    <w:tmpl w:val="1D5CB1B0"/>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7"/>
  </w:num>
  <w:num w:numId="2">
    <w:abstractNumId w:val="9"/>
  </w:num>
  <w:num w:numId="3">
    <w:abstractNumId w:val="14"/>
  </w:num>
  <w:num w:numId="4">
    <w:abstractNumId w:val="16"/>
  </w:num>
  <w:num w:numId="5">
    <w:abstractNumId w:val="6"/>
  </w:num>
  <w:num w:numId="6">
    <w:abstractNumId w:val="22"/>
  </w:num>
  <w:num w:numId="7">
    <w:abstractNumId w:val="15"/>
  </w:num>
  <w:num w:numId="8">
    <w:abstractNumId w:val="21"/>
  </w:num>
  <w:num w:numId="9">
    <w:abstractNumId w:val="24"/>
  </w:num>
  <w:num w:numId="10">
    <w:abstractNumId w:val="19"/>
  </w:num>
  <w:num w:numId="11">
    <w:abstractNumId w:val="23"/>
  </w:num>
  <w:num w:numId="12">
    <w:abstractNumId w:val="12"/>
  </w:num>
  <w:num w:numId="13">
    <w:abstractNumId w:val="8"/>
  </w:num>
  <w:num w:numId="14">
    <w:abstractNumId w:val="3"/>
  </w:num>
  <w:num w:numId="15">
    <w:abstractNumId w:val="2"/>
  </w:num>
  <w:num w:numId="16">
    <w:abstractNumId w:val="4"/>
  </w:num>
  <w:num w:numId="17">
    <w:abstractNumId w:val="10"/>
  </w:num>
  <w:num w:numId="18">
    <w:abstractNumId w:val="26"/>
  </w:num>
  <w:num w:numId="19">
    <w:abstractNumId w:val="11"/>
  </w:num>
  <w:num w:numId="20">
    <w:abstractNumId w:val="7"/>
  </w:num>
  <w:num w:numId="21">
    <w:abstractNumId w:val="18"/>
  </w:num>
  <w:num w:numId="22">
    <w:abstractNumId w:val="5"/>
  </w:num>
  <w:num w:numId="23">
    <w:abstractNumId w:val="13"/>
  </w:num>
  <w:num w:numId="24">
    <w:abstractNumId w:val="20"/>
  </w:num>
  <w:num w:numId="25">
    <w:abstractNumId w:val="1"/>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28"/>
    <w:rsid w:val="00092BA0"/>
    <w:rsid w:val="00211660"/>
    <w:rsid w:val="002369B2"/>
    <w:rsid w:val="00243639"/>
    <w:rsid w:val="002B2028"/>
    <w:rsid w:val="0066417E"/>
    <w:rsid w:val="007075D6"/>
    <w:rsid w:val="00A45ADA"/>
    <w:rsid w:val="00AA462E"/>
    <w:rsid w:val="00AE1422"/>
    <w:rsid w:val="00B4727C"/>
    <w:rsid w:val="00FB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CDFD3-7767-4557-A24C-64311588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lang w:val="en-US"/>
    </w:rPr>
  </w:style>
  <w:style w:type="paragraph" w:customStyle="1" w:styleId="BodyAA">
    <w:name w:val="Body A A"/>
    <w:pPr>
      <w:spacing w:after="200" w:line="276" w:lineRule="auto"/>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paragraph" w:styleId="ListParagraph">
    <w:name w:val="List Paragraph"/>
    <w:pPr>
      <w:spacing w:after="200"/>
      <w:ind w:left="720"/>
    </w:pPr>
    <w:rPr>
      <w:rFonts w:ascii="Cambria" w:eastAsia="Cambria" w:hAnsi="Cambria" w:cs="Cambria"/>
      <w:color w:val="000000"/>
      <w:sz w:val="24"/>
      <w:szCs w:val="24"/>
      <w:u w:color="000000"/>
      <w:lang w:val="en-US"/>
    </w:rPr>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paragraph" w:customStyle="1" w:styleId="BodyAAA">
    <w:name w:val="Body A A A"/>
    <w:rPr>
      <w:rFonts w:ascii="Calibri" w:eastAsia="Calibri" w:hAnsi="Calibri" w:cs="Calibri"/>
      <w:color w:val="000000"/>
      <w:sz w:val="24"/>
      <w:szCs w:val="24"/>
      <w:u w:color="000000"/>
      <w:lang w:val="en-US"/>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u w:val="single"/>
    </w:rPr>
  </w:style>
  <w:style w:type="character" w:customStyle="1" w:styleId="Hyperlink1">
    <w:name w:val="Hyperlink.1"/>
    <w:basedOn w:val="Link"/>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chrane-handbook.org" TargetMode="External"/><Relationship Id="rId3" Type="http://schemas.openxmlformats.org/officeDocument/2006/relationships/settings" Target="settings.xml"/><Relationship Id="rId7" Type="http://schemas.openxmlformats.org/officeDocument/2006/relationships/hyperlink" Target="http://www.ohri.ca/programs/clinical_epidemiology/oxfor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21</Pages>
  <Words>7239</Words>
  <Characters>41263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Luigi Nibali</cp:lastModifiedBy>
  <cp:revision>8</cp:revision>
  <dcterms:created xsi:type="dcterms:W3CDTF">2015-09-26T12:28:00Z</dcterms:created>
  <dcterms:modified xsi:type="dcterms:W3CDTF">2015-09-29T21:10:00Z</dcterms:modified>
</cp:coreProperties>
</file>