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1107" w14:textId="5FE40CB4" w:rsidR="0017559D" w:rsidRPr="006C46AB" w:rsidRDefault="00A32D8B" w:rsidP="0025423E">
      <w:pPr>
        <w:widowControl w:val="0"/>
        <w:spacing w:line="360" w:lineRule="auto"/>
        <w:rPr>
          <w:rFonts w:asciiTheme="majorHAnsi" w:hAnsiTheme="majorHAnsi"/>
          <w:b/>
        </w:rPr>
      </w:pPr>
      <w:proofErr w:type="spellStart"/>
      <w:r w:rsidRPr="006C46AB">
        <w:rPr>
          <w:rFonts w:asciiTheme="majorHAnsi" w:hAnsiTheme="majorHAnsi"/>
          <w:b/>
        </w:rPr>
        <w:t>Endomicroscopic</w:t>
      </w:r>
      <w:proofErr w:type="spellEnd"/>
      <w:r w:rsidRPr="006C46AB">
        <w:rPr>
          <w:rFonts w:asciiTheme="majorHAnsi" w:hAnsiTheme="majorHAnsi"/>
          <w:b/>
        </w:rPr>
        <w:t xml:space="preserve"> and </w:t>
      </w:r>
      <w:proofErr w:type="spellStart"/>
      <w:r w:rsidRPr="006C46AB">
        <w:rPr>
          <w:rFonts w:asciiTheme="majorHAnsi" w:hAnsiTheme="majorHAnsi"/>
          <w:b/>
        </w:rPr>
        <w:t>transcriptomic</w:t>
      </w:r>
      <w:proofErr w:type="spellEnd"/>
      <w:r w:rsidRPr="006C46AB">
        <w:rPr>
          <w:rFonts w:asciiTheme="majorHAnsi" w:hAnsiTheme="majorHAnsi"/>
          <w:b/>
        </w:rPr>
        <w:t xml:space="preserve"> analysis of i</w:t>
      </w:r>
      <w:r w:rsidR="005D0177" w:rsidRPr="006C46AB">
        <w:rPr>
          <w:rFonts w:asciiTheme="majorHAnsi" w:hAnsiTheme="majorHAnsi"/>
          <w:b/>
        </w:rPr>
        <w:t>mp</w:t>
      </w:r>
      <w:r w:rsidRPr="006C46AB">
        <w:rPr>
          <w:rFonts w:asciiTheme="majorHAnsi" w:hAnsiTheme="majorHAnsi"/>
          <w:b/>
        </w:rPr>
        <w:t>aired barrier function and malabsorption in environmental enteropathy</w:t>
      </w:r>
      <w:r w:rsidR="005D0177" w:rsidRPr="006C46AB">
        <w:rPr>
          <w:rFonts w:asciiTheme="majorHAnsi" w:hAnsiTheme="majorHAnsi"/>
          <w:b/>
        </w:rPr>
        <w:t xml:space="preserve"> </w:t>
      </w:r>
    </w:p>
    <w:p w14:paraId="641F91C9" w14:textId="77777777" w:rsidR="00A32D8B" w:rsidRPr="006C46AB" w:rsidRDefault="00A32D8B" w:rsidP="0025423E">
      <w:pPr>
        <w:widowControl w:val="0"/>
        <w:spacing w:line="360" w:lineRule="auto"/>
        <w:rPr>
          <w:rFonts w:asciiTheme="majorHAnsi" w:hAnsiTheme="majorHAnsi"/>
        </w:rPr>
      </w:pPr>
    </w:p>
    <w:p w14:paraId="10E6F5DE" w14:textId="75D5AA35" w:rsidR="004F7E93" w:rsidRPr="006C46AB" w:rsidRDefault="00B81022" w:rsidP="0025423E">
      <w:pPr>
        <w:widowControl w:val="0"/>
        <w:spacing w:line="360" w:lineRule="auto"/>
        <w:rPr>
          <w:rFonts w:asciiTheme="majorHAnsi" w:hAnsiTheme="majorHAnsi"/>
        </w:rPr>
      </w:pPr>
      <w:r w:rsidRPr="006C46AB">
        <w:rPr>
          <w:rFonts w:asciiTheme="majorHAnsi" w:hAnsiTheme="majorHAnsi"/>
        </w:rPr>
        <w:t>Paul Kelly</w:t>
      </w:r>
      <w:r w:rsidRPr="006C46AB">
        <w:rPr>
          <w:rFonts w:asciiTheme="majorHAnsi" w:hAnsiTheme="majorHAnsi"/>
          <w:vertAlign w:val="superscript"/>
        </w:rPr>
        <w:t>1,2</w:t>
      </w:r>
      <w:r w:rsidRPr="006C46AB">
        <w:rPr>
          <w:rFonts w:asciiTheme="majorHAnsi" w:hAnsiTheme="majorHAnsi"/>
        </w:rPr>
        <w:t xml:space="preserve">, </w:t>
      </w:r>
      <w:r w:rsidR="004F7E93" w:rsidRPr="006C46AB">
        <w:rPr>
          <w:rFonts w:asciiTheme="majorHAnsi" w:hAnsiTheme="majorHAnsi"/>
        </w:rPr>
        <w:t>Ellen Besa</w:t>
      </w:r>
      <w:r w:rsidR="004F7E93" w:rsidRPr="006C46AB">
        <w:rPr>
          <w:rFonts w:asciiTheme="majorHAnsi" w:hAnsiTheme="majorHAnsi"/>
          <w:vertAlign w:val="superscript"/>
        </w:rPr>
        <w:t>2</w:t>
      </w:r>
      <w:r w:rsidR="004F7E93" w:rsidRPr="006C46AB">
        <w:rPr>
          <w:rFonts w:asciiTheme="majorHAnsi" w:hAnsiTheme="majorHAnsi"/>
        </w:rPr>
        <w:t xml:space="preserve">, </w:t>
      </w:r>
      <w:proofErr w:type="spellStart"/>
      <w:r w:rsidR="004F7E93" w:rsidRPr="006C46AB">
        <w:rPr>
          <w:rFonts w:asciiTheme="majorHAnsi" w:hAnsiTheme="majorHAnsi"/>
        </w:rPr>
        <w:t>Kanekwa</w:t>
      </w:r>
      <w:proofErr w:type="spellEnd"/>
      <w:r w:rsidR="004F7E93" w:rsidRPr="006C46AB">
        <w:rPr>
          <w:rFonts w:asciiTheme="majorHAnsi" w:hAnsiTheme="majorHAnsi"/>
        </w:rPr>
        <w:t xml:space="preserve"> Zyambo</w:t>
      </w:r>
      <w:r w:rsidR="004F7E93" w:rsidRPr="006C46AB">
        <w:rPr>
          <w:rFonts w:asciiTheme="majorHAnsi" w:hAnsiTheme="majorHAnsi"/>
          <w:vertAlign w:val="superscript"/>
        </w:rPr>
        <w:t>2</w:t>
      </w:r>
      <w:r w:rsidR="004F7E93" w:rsidRPr="006C46AB">
        <w:rPr>
          <w:rFonts w:asciiTheme="majorHAnsi" w:hAnsiTheme="majorHAnsi"/>
        </w:rPr>
        <w:t xml:space="preserve">, </w:t>
      </w:r>
      <w:r w:rsidR="00637900" w:rsidRPr="006C46AB">
        <w:rPr>
          <w:rFonts w:asciiTheme="majorHAnsi" w:hAnsiTheme="majorHAnsi"/>
        </w:rPr>
        <w:t>John Louis-Auguste</w:t>
      </w:r>
      <w:r w:rsidR="00637900" w:rsidRPr="006C46AB">
        <w:rPr>
          <w:rFonts w:asciiTheme="majorHAnsi" w:hAnsiTheme="majorHAnsi"/>
          <w:vertAlign w:val="superscript"/>
        </w:rPr>
        <w:t>1</w:t>
      </w:r>
      <w:r w:rsidR="00637900" w:rsidRPr="006C46AB">
        <w:rPr>
          <w:rFonts w:asciiTheme="majorHAnsi" w:hAnsiTheme="majorHAnsi"/>
        </w:rPr>
        <w:t xml:space="preserve">, </w:t>
      </w:r>
      <w:r w:rsidR="00276EAC" w:rsidRPr="006C46AB">
        <w:rPr>
          <w:rFonts w:asciiTheme="majorHAnsi" w:hAnsiTheme="majorHAnsi"/>
        </w:rPr>
        <w:t>James</w:t>
      </w:r>
      <w:r w:rsidR="00F47AAE" w:rsidRPr="006C46AB">
        <w:rPr>
          <w:rFonts w:asciiTheme="majorHAnsi" w:hAnsiTheme="majorHAnsi"/>
        </w:rPr>
        <w:t xml:space="preserve"> Lees</w:t>
      </w:r>
      <w:r w:rsidR="00F47AAE" w:rsidRPr="006C46AB">
        <w:rPr>
          <w:rFonts w:asciiTheme="majorHAnsi" w:hAnsiTheme="majorHAnsi"/>
          <w:vertAlign w:val="superscript"/>
        </w:rPr>
        <w:t>1</w:t>
      </w:r>
      <w:r w:rsidR="00F47AAE" w:rsidRPr="006C46AB">
        <w:rPr>
          <w:rFonts w:asciiTheme="majorHAnsi" w:hAnsiTheme="majorHAnsi"/>
        </w:rPr>
        <w:t xml:space="preserve">, </w:t>
      </w:r>
      <w:proofErr w:type="spellStart"/>
      <w:r w:rsidR="004F7E93" w:rsidRPr="006C46AB">
        <w:rPr>
          <w:rFonts w:asciiTheme="majorHAnsi" w:hAnsiTheme="majorHAnsi"/>
        </w:rPr>
        <w:t>Themba</w:t>
      </w:r>
      <w:proofErr w:type="spellEnd"/>
      <w:r w:rsidR="004F7E93" w:rsidRPr="006C46AB">
        <w:rPr>
          <w:rFonts w:asciiTheme="majorHAnsi" w:hAnsiTheme="majorHAnsi"/>
        </w:rPr>
        <w:t xml:space="preserve"> Banda</w:t>
      </w:r>
      <w:r w:rsidR="004F7E93" w:rsidRPr="006C46AB">
        <w:rPr>
          <w:rFonts w:asciiTheme="majorHAnsi" w:hAnsiTheme="majorHAnsi"/>
          <w:vertAlign w:val="superscript"/>
        </w:rPr>
        <w:t>2</w:t>
      </w:r>
      <w:r w:rsidR="004F7E93" w:rsidRPr="006C46AB">
        <w:rPr>
          <w:rFonts w:asciiTheme="majorHAnsi" w:hAnsiTheme="majorHAnsi"/>
        </w:rPr>
        <w:t>, Rose Soko</w:t>
      </w:r>
      <w:r w:rsidR="004F7E93" w:rsidRPr="006C46AB">
        <w:rPr>
          <w:rFonts w:asciiTheme="majorHAnsi" w:hAnsiTheme="majorHAnsi"/>
          <w:vertAlign w:val="superscript"/>
        </w:rPr>
        <w:t>2</w:t>
      </w:r>
      <w:r w:rsidR="004F7E93" w:rsidRPr="006C46AB">
        <w:rPr>
          <w:rFonts w:asciiTheme="majorHAnsi" w:hAnsiTheme="majorHAnsi"/>
        </w:rPr>
        <w:t>, Rosemary Banda</w:t>
      </w:r>
      <w:r w:rsidR="004F7E93" w:rsidRPr="006C46AB">
        <w:rPr>
          <w:rFonts w:asciiTheme="majorHAnsi" w:hAnsiTheme="majorHAnsi"/>
          <w:vertAlign w:val="superscript"/>
        </w:rPr>
        <w:t>2</w:t>
      </w:r>
      <w:r w:rsidR="004F7E93" w:rsidRPr="006C46AB">
        <w:rPr>
          <w:rFonts w:asciiTheme="majorHAnsi" w:hAnsiTheme="majorHAnsi"/>
        </w:rPr>
        <w:t xml:space="preserve">, </w:t>
      </w:r>
      <w:r w:rsidRPr="006C46AB">
        <w:rPr>
          <w:rFonts w:asciiTheme="majorHAnsi" w:hAnsiTheme="majorHAnsi"/>
        </w:rPr>
        <w:t>Beatrice Amadi</w:t>
      </w:r>
      <w:r w:rsidR="00182075" w:rsidRPr="006C46AB">
        <w:rPr>
          <w:rFonts w:asciiTheme="majorHAnsi" w:hAnsiTheme="majorHAnsi"/>
          <w:vertAlign w:val="superscript"/>
        </w:rPr>
        <w:t>2</w:t>
      </w:r>
      <w:r w:rsidR="0017559D" w:rsidRPr="006C46AB">
        <w:rPr>
          <w:rFonts w:asciiTheme="majorHAnsi" w:hAnsiTheme="majorHAnsi"/>
        </w:rPr>
        <w:t>, Alastair Watson</w:t>
      </w:r>
      <w:r w:rsidR="0017559D" w:rsidRPr="006C46AB">
        <w:rPr>
          <w:rFonts w:asciiTheme="majorHAnsi" w:hAnsiTheme="majorHAnsi"/>
          <w:vertAlign w:val="superscript"/>
        </w:rPr>
        <w:t>3</w:t>
      </w:r>
    </w:p>
    <w:p w14:paraId="0773027E" w14:textId="77777777" w:rsidR="004F7E93" w:rsidRPr="006C46AB" w:rsidRDefault="004F7E93" w:rsidP="0025423E">
      <w:pPr>
        <w:widowControl w:val="0"/>
        <w:spacing w:line="360" w:lineRule="auto"/>
        <w:rPr>
          <w:rFonts w:asciiTheme="majorHAnsi" w:hAnsiTheme="majorHAnsi"/>
        </w:rPr>
      </w:pPr>
    </w:p>
    <w:p w14:paraId="62336221" w14:textId="77777777" w:rsidR="004F7E93" w:rsidRPr="006C46AB" w:rsidRDefault="004F7E93" w:rsidP="0025423E">
      <w:pPr>
        <w:widowControl w:val="0"/>
        <w:spacing w:line="360" w:lineRule="auto"/>
        <w:rPr>
          <w:rFonts w:asciiTheme="majorHAnsi" w:hAnsiTheme="majorHAnsi"/>
        </w:rPr>
      </w:pPr>
    </w:p>
    <w:p w14:paraId="68487B54" w14:textId="11B19E74" w:rsidR="004F7E93" w:rsidRPr="006C46AB" w:rsidRDefault="004F7E93" w:rsidP="0025423E">
      <w:pPr>
        <w:widowControl w:val="0"/>
        <w:autoSpaceDE w:val="0"/>
        <w:autoSpaceDN w:val="0"/>
        <w:adjustRightInd w:val="0"/>
        <w:spacing w:line="360" w:lineRule="auto"/>
        <w:rPr>
          <w:rFonts w:asciiTheme="majorHAnsi" w:hAnsiTheme="majorHAnsi" w:cs="Helvetica"/>
          <w:lang w:val="en-US"/>
        </w:rPr>
      </w:pPr>
      <w:r w:rsidRPr="006C46AB">
        <w:rPr>
          <w:rFonts w:asciiTheme="majorHAnsi" w:hAnsiTheme="majorHAnsi"/>
          <w:vertAlign w:val="superscript"/>
        </w:rPr>
        <w:t>1</w:t>
      </w:r>
      <w:r w:rsidRPr="006C46AB">
        <w:rPr>
          <w:rFonts w:asciiTheme="majorHAnsi" w:hAnsiTheme="majorHAnsi"/>
        </w:rPr>
        <w:t>Blizard Institute, Barts &amp; The London School of Medicine, Queen Mary University of London, 4 Newark Street, London, UK</w:t>
      </w:r>
      <w:r w:rsidR="0010486D" w:rsidRPr="006C46AB">
        <w:rPr>
          <w:rFonts w:asciiTheme="majorHAnsi" w:hAnsiTheme="majorHAnsi"/>
        </w:rPr>
        <w:t xml:space="preserve">; </w:t>
      </w:r>
      <w:r w:rsidR="0010486D" w:rsidRPr="006C46AB">
        <w:rPr>
          <w:rFonts w:asciiTheme="majorHAnsi" w:hAnsiTheme="majorHAnsi"/>
          <w:vertAlign w:val="superscript"/>
        </w:rPr>
        <w:t>2</w:t>
      </w:r>
      <w:r w:rsidRPr="006C46AB">
        <w:rPr>
          <w:rFonts w:asciiTheme="majorHAnsi" w:hAnsiTheme="majorHAnsi"/>
        </w:rPr>
        <w:t xml:space="preserve">Tropical Gastroenterology and Nutrition group, University of Zambia School of Medicine, Nationalist Road, Lusaka, Zambia; </w:t>
      </w:r>
      <w:r w:rsidR="00BF5FC7" w:rsidRPr="006C46AB">
        <w:rPr>
          <w:rFonts w:asciiTheme="majorHAnsi" w:hAnsiTheme="majorHAnsi"/>
          <w:vertAlign w:val="superscript"/>
        </w:rPr>
        <w:t>3</w:t>
      </w:r>
      <w:r w:rsidRPr="006C46AB">
        <w:rPr>
          <w:rFonts w:asciiTheme="majorHAnsi" w:hAnsiTheme="majorHAnsi" w:cs="Helvetica"/>
          <w:lang w:val="en-US"/>
        </w:rPr>
        <w:t>Norwich Medical School, University of East Anglia, Norwich Research Park, Norwich, UK</w:t>
      </w:r>
    </w:p>
    <w:p w14:paraId="3FB04292" w14:textId="77777777" w:rsidR="004F7E93" w:rsidRPr="006C46AB" w:rsidRDefault="004F7E93" w:rsidP="0025423E">
      <w:pPr>
        <w:widowControl w:val="0"/>
        <w:spacing w:line="360" w:lineRule="auto"/>
        <w:rPr>
          <w:rFonts w:asciiTheme="majorHAnsi" w:hAnsiTheme="majorHAnsi"/>
        </w:rPr>
      </w:pPr>
    </w:p>
    <w:p w14:paraId="67F6BAF2" w14:textId="1D5AAB25" w:rsidR="004F7E93" w:rsidRPr="006C46AB" w:rsidRDefault="00D36E63" w:rsidP="0025423E">
      <w:pPr>
        <w:widowControl w:val="0"/>
        <w:spacing w:line="360" w:lineRule="auto"/>
        <w:rPr>
          <w:rFonts w:asciiTheme="majorHAnsi" w:hAnsiTheme="majorHAnsi"/>
          <w:b/>
        </w:rPr>
      </w:pPr>
      <w:r w:rsidRPr="006C46AB">
        <w:rPr>
          <w:rFonts w:asciiTheme="majorHAnsi" w:hAnsiTheme="majorHAnsi"/>
          <w:b/>
        </w:rPr>
        <w:t>Running head</w:t>
      </w:r>
      <w:r w:rsidR="00A32D8B" w:rsidRPr="006C46AB">
        <w:rPr>
          <w:rFonts w:asciiTheme="majorHAnsi" w:hAnsiTheme="majorHAnsi"/>
          <w:b/>
        </w:rPr>
        <w:t>: Barrier function in Environmental Enteropathy</w:t>
      </w:r>
    </w:p>
    <w:p w14:paraId="7F6EC2EE" w14:textId="77777777" w:rsidR="004F7E93" w:rsidRPr="006C46AB" w:rsidRDefault="004F7E93" w:rsidP="0025423E">
      <w:pPr>
        <w:widowControl w:val="0"/>
        <w:spacing w:line="360" w:lineRule="auto"/>
        <w:rPr>
          <w:rFonts w:asciiTheme="majorHAnsi" w:hAnsiTheme="majorHAnsi"/>
        </w:rPr>
      </w:pPr>
    </w:p>
    <w:p w14:paraId="57392FAD" w14:textId="77777777" w:rsidR="003123FC" w:rsidRPr="006C46AB" w:rsidRDefault="003123FC" w:rsidP="0025423E">
      <w:pPr>
        <w:widowControl w:val="0"/>
        <w:spacing w:line="360" w:lineRule="auto"/>
        <w:rPr>
          <w:rFonts w:asciiTheme="majorHAnsi" w:hAnsiTheme="majorHAnsi"/>
        </w:rPr>
      </w:pPr>
    </w:p>
    <w:p w14:paraId="206CA483" w14:textId="77777777" w:rsidR="003123FC" w:rsidRPr="006C46AB" w:rsidRDefault="003123FC" w:rsidP="0025423E">
      <w:pPr>
        <w:widowControl w:val="0"/>
        <w:spacing w:line="360" w:lineRule="auto"/>
        <w:rPr>
          <w:rFonts w:asciiTheme="majorHAnsi" w:hAnsiTheme="majorHAnsi"/>
        </w:rPr>
      </w:pPr>
    </w:p>
    <w:p w14:paraId="02EFEF24" w14:textId="77777777" w:rsidR="003123FC" w:rsidRPr="006C46AB" w:rsidRDefault="003123FC" w:rsidP="0025423E">
      <w:pPr>
        <w:widowControl w:val="0"/>
        <w:spacing w:line="360" w:lineRule="auto"/>
        <w:rPr>
          <w:rFonts w:asciiTheme="majorHAnsi" w:hAnsiTheme="majorHAnsi"/>
          <w:b/>
        </w:rPr>
      </w:pPr>
      <w:r w:rsidRPr="006C46AB">
        <w:rPr>
          <w:rFonts w:asciiTheme="majorHAnsi" w:hAnsiTheme="majorHAnsi"/>
          <w:b/>
        </w:rPr>
        <w:t>Corresponding author:</w:t>
      </w:r>
    </w:p>
    <w:p w14:paraId="49B5E3E0" w14:textId="77777777" w:rsidR="003123FC" w:rsidRPr="006C46AB" w:rsidRDefault="003123FC" w:rsidP="0025423E">
      <w:pPr>
        <w:widowControl w:val="0"/>
        <w:spacing w:line="360" w:lineRule="auto"/>
        <w:rPr>
          <w:rFonts w:asciiTheme="majorHAnsi" w:hAnsiTheme="majorHAnsi"/>
        </w:rPr>
      </w:pPr>
      <w:r w:rsidRPr="006C46AB">
        <w:rPr>
          <w:rFonts w:asciiTheme="majorHAnsi" w:hAnsiTheme="majorHAnsi"/>
        </w:rPr>
        <w:t>Professor Paul Kelly MD FRCP</w:t>
      </w:r>
    </w:p>
    <w:p w14:paraId="61F3D584" w14:textId="77777777" w:rsidR="003123FC" w:rsidRPr="006C46AB" w:rsidRDefault="003123FC" w:rsidP="0025423E">
      <w:pPr>
        <w:widowControl w:val="0"/>
        <w:spacing w:line="360" w:lineRule="auto"/>
        <w:rPr>
          <w:rFonts w:asciiTheme="majorHAnsi" w:hAnsiTheme="majorHAnsi"/>
        </w:rPr>
      </w:pPr>
      <w:proofErr w:type="spellStart"/>
      <w:r w:rsidRPr="006C46AB">
        <w:rPr>
          <w:rFonts w:asciiTheme="majorHAnsi" w:hAnsiTheme="majorHAnsi"/>
        </w:rPr>
        <w:t>Blizard</w:t>
      </w:r>
      <w:proofErr w:type="spellEnd"/>
      <w:r w:rsidRPr="006C46AB">
        <w:rPr>
          <w:rFonts w:asciiTheme="majorHAnsi" w:hAnsiTheme="majorHAnsi"/>
        </w:rPr>
        <w:t xml:space="preserve"> Institute,</w:t>
      </w:r>
    </w:p>
    <w:p w14:paraId="62530689" w14:textId="77777777" w:rsidR="003123FC" w:rsidRPr="006C46AB" w:rsidRDefault="003123FC" w:rsidP="0025423E">
      <w:pPr>
        <w:widowControl w:val="0"/>
        <w:spacing w:line="360" w:lineRule="auto"/>
        <w:rPr>
          <w:rFonts w:asciiTheme="majorHAnsi" w:hAnsiTheme="majorHAnsi"/>
        </w:rPr>
      </w:pPr>
      <w:r w:rsidRPr="006C46AB">
        <w:rPr>
          <w:rFonts w:asciiTheme="majorHAnsi" w:hAnsiTheme="majorHAnsi"/>
        </w:rPr>
        <w:t>Barts &amp; The London School of Medicine</w:t>
      </w:r>
    </w:p>
    <w:p w14:paraId="262EB0F4" w14:textId="77777777" w:rsidR="003123FC" w:rsidRPr="006C46AB" w:rsidRDefault="003123FC" w:rsidP="0025423E">
      <w:pPr>
        <w:widowControl w:val="0"/>
        <w:spacing w:line="360" w:lineRule="auto"/>
        <w:rPr>
          <w:rFonts w:asciiTheme="majorHAnsi" w:hAnsiTheme="majorHAnsi"/>
        </w:rPr>
      </w:pPr>
      <w:r w:rsidRPr="006C46AB">
        <w:rPr>
          <w:rFonts w:asciiTheme="majorHAnsi" w:hAnsiTheme="majorHAnsi"/>
        </w:rPr>
        <w:t>Queen Mary, University of London,</w:t>
      </w:r>
    </w:p>
    <w:p w14:paraId="68474BCB" w14:textId="77777777" w:rsidR="003123FC" w:rsidRPr="006C46AB" w:rsidRDefault="003123FC" w:rsidP="0025423E">
      <w:pPr>
        <w:widowControl w:val="0"/>
        <w:spacing w:line="360" w:lineRule="auto"/>
        <w:rPr>
          <w:rFonts w:asciiTheme="majorHAnsi" w:hAnsiTheme="majorHAnsi"/>
        </w:rPr>
      </w:pPr>
      <w:r w:rsidRPr="006C46AB">
        <w:rPr>
          <w:rFonts w:asciiTheme="majorHAnsi" w:hAnsiTheme="majorHAnsi"/>
        </w:rPr>
        <w:t>4 Newark Street,</w:t>
      </w:r>
    </w:p>
    <w:p w14:paraId="12338BB5" w14:textId="77777777" w:rsidR="003123FC" w:rsidRPr="006C46AB" w:rsidRDefault="003123FC" w:rsidP="0025423E">
      <w:pPr>
        <w:widowControl w:val="0"/>
        <w:spacing w:line="360" w:lineRule="auto"/>
        <w:rPr>
          <w:rFonts w:asciiTheme="majorHAnsi" w:hAnsiTheme="majorHAnsi"/>
        </w:rPr>
      </w:pPr>
      <w:r w:rsidRPr="006C46AB">
        <w:rPr>
          <w:rFonts w:asciiTheme="majorHAnsi" w:hAnsiTheme="majorHAnsi"/>
        </w:rPr>
        <w:t>London E1 2AT</w:t>
      </w:r>
    </w:p>
    <w:p w14:paraId="5E8353E0" w14:textId="77777777" w:rsidR="003123FC" w:rsidRPr="006C46AB" w:rsidRDefault="003123FC" w:rsidP="0025423E">
      <w:pPr>
        <w:widowControl w:val="0"/>
        <w:spacing w:line="360" w:lineRule="auto"/>
        <w:rPr>
          <w:rFonts w:asciiTheme="majorHAnsi" w:hAnsiTheme="majorHAnsi"/>
        </w:rPr>
      </w:pPr>
      <w:r w:rsidRPr="006C46AB">
        <w:rPr>
          <w:rFonts w:asciiTheme="majorHAnsi" w:hAnsiTheme="majorHAnsi"/>
        </w:rPr>
        <w:t xml:space="preserve">email: </w:t>
      </w:r>
      <w:hyperlink r:id="rId8" w:history="1">
        <w:r w:rsidRPr="006C46AB">
          <w:rPr>
            <w:rStyle w:val="Hyperlink"/>
            <w:rFonts w:asciiTheme="majorHAnsi" w:hAnsiTheme="majorHAnsi"/>
          </w:rPr>
          <w:t>m.p.kelly@qmul.ac.uk</w:t>
        </w:r>
      </w:hyperlink>
    </w:p>
    <w:p w14:paraId="6F35B042" w14:textId="77777777" w:rsidR="003123FC" w:rsidRPr="006C46AB" w:rsidRDefault="003123FC" w:rsidP="0025423E">
      <w:pPr>
        <w:widowControl w:val="0"/>
        <w:spacing w:line="360" w:lineRule="auto"/>
        <w:rPr>
          <w:rFonts w:asciiTheme="majorHAnsi" w:hAnsiTheme="majorHAnsi"/>
        </w:rPr>
      </w:pPr>
      <w:proofErr w:type="spellStart"/>
      <w:r w:rsidRPr="006C46AB">
        <w:rPr>
          <w:rFonts w:asciiTheme="majorHAnsi" w:hAnsiTheme="majorHAnsi"/>
        </w:rPr>
        <w:t>tel</w:t>
      </w:r>
      <w:proofErr w:type="spellEnd"/>
      <w:r w:rsidRPr="006C46AB">
        <w:rPr>
          <w:rFonts w:asciiTheme="majorHAnsi" w:hAnsiTheme="majorHAnsi"/>
        </w:rPr>
        <w:t>: +44 20 7882 2643</w:t>
      </w:r>
    </w:p>
    <w:p w14:paraId="3A646CFA" w14:textId="77777777" w:rsidR="00D36E63" w:rsidRPr="006C46AB" w:rsidRDefault="00D36E63">
      <w:pPr>
        <w:rPr>
          <w:rFonts w:asciiTheme="majorHAnsi" w:hAnsiTheme="majorHAnsi"/>
        </w:rPr>
      </w:pPr>
    </w:p>
    <w:p w14:paraId="3671591E" w14:textId="4B0E9F19" w:rsidR="00D36E63" w:rsidRPr="006C46AB" w:rsidRDefault="00471D45">
      <w:pPr>
        <w:rPr>
          <w:rFonts w:asciiTheme="majorHAnsi" w:hAnsiTheme="majorHAnsi"/>
        </w:rPr>
      </w:pPr>
      <w:r w:rsidRPr="006C46AB">
        <w:rPr>
          <w:rFonts w:asciiTheme="majorHAnsi" w:hAnsiTheme="majorHAnsi"/>
        </w:rPr>
        <w:t>Word count: 250 (abstract), 3863</w:t>
      </w:r>
      <w:r w:rsidR="00D36E63" w:rsidRPr="006C46AB">
        <w:rPr>
          <w:rFonts w:asciiTheme="majorHAnsi" w:hAnsiTheme="majorHAnsi"/>
        </w:rPr>
        <w:t xml:space="preserve"> (text)</w:t>
      </w:r>
    </w:p>
    <w:p w14:paraId="0B663F64" w14:textId="77777777" w:rsidR="00D36E63" w:rsidRPr="006C46AB" w:rsidRDefault="00D36E63">
      <w:pPr>
        <w:rPr>
          <w:rFonts w:asciiTheme="majorHAnsi" w:hAnsiTheme="majorHAnsi"/>
        </w:rPr>
      </w:pPr>
    </w:p>
    <w:p w14:paraId="0368BEB5" w14:textId="77777777" w:rsidR="00D36E63" w:rsidRPr="006C46AB" w:rsidRDefault="00D36E63">
      <w:pPr>
        <w:rPr>
          <w:rFonts w:asciiTheme="majorHAnsi" w:hAnsiTheme="majorHAnsi"/>
        </w:rPr>
      </w:pPr>
      <w:r w:rsidRPr="006C46AB">
        <w:rPr>
          <w:rFonts w:asciiTheme="majorHAnsi" w:hAnsiTheme="majorHAnsi"/>
        </w:rPr>
        <w:br w:type="page"/>
      </w:r>
    </w:p>
    <w:p w14:paraId="1E558FEF" w14:textId="5ED528AE" w:rsidR="003123FC" w:rsidRPr="006C46AB" w:rsidRDefault="003123FC" w:rsidP="0025423E">
      <w:pPr>
        <w:widowControl w:val="0"/>
        <w:spacing w:line="360" w:lineRule="auto"/>
        <w:rPr>
          <w:rFonts w:asciiTheme="majorHAnsi" w:hAnsiTheme="majorHAnsi"/>
          <w:b/>
        </w:rPr>
      </w:pPr>
      <w:r w:rsidRPr="006C46AB">
        <w:rPr>
          <w:rFonts w:asciiTheme="majorHAnsi" w:hAnsiTheme="majorHAnsi"/>
          <w:b/>
        </w:rPr>
        <w:lastRenderedPageBreak/>
        <w:t>Abstract</w:t>
      </w:r>
    </w:p>
    <w:p w14:paraId="7B1CAE4E" w14:textId="32100E3B" w:rsidR="00BF5FC7" w:rsidRPr="006C46AB" w:rsidRDefault="00283F54" w:rsidP="0025423E">
      <w:pPr>
        <w:widowControl w:val="0"/>
        <w:spacing w:line="360" w:lineRule="auto"/>
        <w:rPr>
          <w:rFonts w:asciiTheme="majorHAnsi" w:hAnsiTheme="majorHAnsi"/>
        </w:rPr>
      </w:pPr>
      <w:r w:rsidRPr="006C46AB">
        <w:rPr>
          <w:rFonts w:asciiTheme="majorHAnsi" w:hAnsiTheme="majorHAnsi"/>
          <w:i/>
        </w:rPr>
        <w:t>Introduction</w:t>
      </w:r>
      <w:r w:rsidR="00301F9E" w:rsidRPr="006C46AB">
        <w:rPr>
          <w:rFonts w:asciiTheme="majorHAnsi" w:hAnsiTheme="majorHAnsi"/>
        </w:rPr>
        <w:t xml:space="preserve"> </w:t>
      </w:r>
      <w:r w:rsidR="00B56B56" w:rsidRPr="006C46AB">
        <w:rPr>
          <w:rFonts w:asciiTheme="majorHAnsi" w:hAnsiTheme="majorHAnsi"/>
        </w:rPr>
        <w:t xml:space="preserve">Environmental enteropathy (EE) is associated with growth failure, micronutrient malabsorption and impaired responses to oral vaccines. </w:t>
      </w:r>
      <w:r w:rsidR="00B347AA" w:rsidRPr="006C46AB">
        <w:rPr>
          <w:rFonts w:asciiTheme="majorHAnsi" w:hAnsiTheme="majorHAnsi"/>
        </w:rPr>
        <w:t>We set out to define</w:t>
      </w:r>
      <w:r w:rsidR="00B56B56" w:rsidRPr="006C46AB">
        <w:rPr>
          <w:rFonts w:asciiTheme="majorHAnsi" w:hAnsiTheme="majorHAnsi"/>
        </w:rPr>
        <w:t xml:space="preserve"> cellular mechanisms of impaired barrier function in EE </w:t>
      </w:r>
      <w:r w:rsidR="00B347AA" w:rsidRPr="006C46AB">
        <w:rPr>
          <w:rFonts w:asciiTheme="majorHAnsi" w:hAnsiTheme="majorHAnsi"/>
        </w:rPr>
        <w:t>and explore</w:t>
      </w:r>
      <w:r w:rsidR="00BF5FC7" w:rsidRPr="006C46AB">
        <w:rPr>
          <w:rFonts w:asciiTheme="majorHAnsi" w:hAnsiTheme="majorHAnsi"/>
        </w:rPr>
        <w:t xml:space="preserve"> protective mechanisms</w:t>
      </w:r>
      <w:r w:rsidR="00B56B56" w:rsidRPr="006C46AB">
        <w:rPr>
          <w:rFonts w:asciiTheme="majorHAnsi" w:hAnsiTheme="majorHAnsi"/>
        </w:rPr>
        <w:t xml:space="preserve">. </w:t>
      </w:r>
    </w:p>
    <w:p w14:paraId="537F7354" w14:textId="0ADBFF9B" w:rsidR="003123FC" w:rsidRPr="006C46AB" w:rsidRDefault="00301F9E" w:rsidP="0025423E">
      <w:pPr>
        <w:widowControl w:val="0"/>
        <w:spacing w:line="360" w:lineRule="auto"/>
        <w:rPr>
          <w:rFonts w:asciiTheme="majorHAnsi" w:hAnsiTheme="majorHAnsi"/>
        </w:rPr>
      </w:pPr>
      <w:r w:rsidRPr="006C46AB">
        <w:rPr>
          <w:rFonts w:asciiTheme="majorHAnsi" w:hAnsiTheme="majorHAnsi"/>
          <w:i/>
        </w:rPr>
        <w:t>Methods</w:t>
      </w:r>
      <w:r w:rsidRPr="006C46AB">
        <w:rPr>
          <w:rFonts w:asciiTheme="majorHAnsi" w:hAnsiTheme="majorHAnsi"/>
        </w:rPr>
        <w:t xml:space="preserve"> We studied 49 adults with environmental enteropathy in Lusaka, Zambia using </w:t>
      </w:r>
      <w:r w:rsidR="00B56B56" w:rsidRPr="006C46AB">
        <w:rPr>
          <w:rFonts w:asciiTheme="majorHAnsi" w:hAnsiTheme="majorHAnsi"/>
        </w:rPr>
        <w:t xml:space="preserve">confocal </w:t>
      </w:r>
      <w:r w:rsidRPr="006C46AB">
        <w:rPr>
          <w:rFonts w:asciiTheme="majorHAnsi" w:hAnsiTheme="majorHAnsi"/>
        </w:rPr>
        <w:t xml:space="preserve">laser </w:t>
      </w:r>
      <w:r w:rsidR="00B56B56" w:rsidRPr="006C46AB">
        <w:rPr>
          <w:rFonts w:asciiTheme="majorHAnsi" w:hAnsiTheme="majorHAnsi"/>
        </w:rPr>
        <w:t>endomicroscopy</w:t>
      </w:r>
      <w:r w:rsidR="00061F69" w:rsidRPr="006C46AB">
        <w:rPr>
          <w:rFonts w:asciiTheme="majorHAnsi" w:hAnsiTheme="majorHAnsi"/>
        </w:rPr>
        <w:t xml:space="preserve"> (CLE)</w:t>
      </w:r>
      <w:r w:rsidR="00B347AA" w:rsidRPr="006C46AB">
        <w:rPr>
          <w:rFonts w:asciiTheme="majorHAnsi" w:hAnsiTheme="majorHAnsi"/>
        </w:rPr>
        <w:t>;</w:t>
      </w:r>
      <w:r w:rsidR="00B56B56" w:rsidRPr="006C46AB">
        <w:rPr>
          <w:rFonts w:asciiTheme="majorHAnsi" w:hAnsiTheme="majorHAnsi"/>
        </w:rPr>
        <w:t xml:space="preserve"> </w:t>
      </w:r>
      <w:r w:rsidRPr="006C46AB">
        <w:rPr>
          <w:rFonts w:asciiTheme="majorHAnsi" w:hAnsiTheme="majorHAnsi"/>
        </w:rPr>
        <w:t>hist</w:t>
      </w:r>
      <w:r w:rsidR="00B347AA" w:rsidRPr="006C46AB">
        <w:rPr>
          <w:rFonts w:asciiTheme="majorHAnsi" w:hAnsiTheme="majorHAnsi"/>
        </w:rPr>
        <w:t>ology,</w:t>
      </w:r>
      <w:r w:rsidRPr="006C46AB">
        <w:rPr>
          <w:rFonts w:asciiTheme="majorHAnsi" w:hAnsiTheme="majorHAnsi"/>
        </w:rPr>
        <w:t xml:space="preserve"> immunohistochemistry </w:t>
      </w:r>
      <w:r w:rsidR="00B347AA" w:rsidRPr="006C46AB">
        <w:rPr>
          <w:rFonts w:asciiTheme="majorHAnsi" w:hAnsiTheme="majorHAnsi"/>
        </w:rPr>
        <w:t>and mRNA sequencing of small intestinal biopsies;</w:t>
      </w:r>
      <w:r w:rsidRPr="006C46AB">
        <w:rPr>
          <w:rFonts w:asciiTheme="majorHAnsi" w:hAnsiTheme="majorHAnsi"/>
        </w:rPr>
        <w:t xml:space="preserve"> </w:t>
      </w:r>
      <w:r w:rsidR="0017559D" w:rsidRPr="006C46AB">
        <w:rPr>
          <w:rFonts w:asciiTheme="majorHAnsi" w:hAnsiTheme="majorHAnsi"/>
        </w:rPr>
        <w:t xml:space="preserve">and </w:t>
      </w:r>
      <w:r w:rsidRPr="006C46AB">
        <w:rPr>
          <w:rFonts w:asciiTheme="majorHAnsi" w:hAnsiTheme="majorHAnsi"/>
        </w:rPr>
        <w:t xml:space="preserve">correlated these with plasma </w:t>
      </w:r>
      <w:r w:rsidR="00B347AA" w:rsidRPr="006C46AB">
        <w:rPr>
          <w:rFonts w:asciiTheme="majorHAnsi" w:hAnsiTheme="majorHAnsi"/>
        </w:rPr>
        <w:t>lipopolysaccharide</w:t>
      </w:r>
      <w:r w:rsidRPr="006C46AB">
        <w:rPr>
          <w:rFonts w:asciiTheme="majorHAnsi" w:hAnsiTheme="majorHAnsi"/>
        </w:rPr>
        <w:t xml:space="preserve"> </w:t>
      </w:r>
      <w:r w:rsidR="00B347AA" w:rsidRPr="006C46AB">
        <w:rPr>
          <w:rFonts w:asciiTheme="majorHAnsi" w:hAnsiTheme="majorHAnsi"/>
        </w:rPr>
        <w:t xml:space="preserve">(LPS) </w:t>
      </w:r>
      <w:r w:rsidRPr="006C46AB">
        <w:rPr>
          <w:rFonts w:asciiTheme="majorHAnsi" w:hAnsiTheme="majorHAnsi"/>
        </w:rPr>
        <w:t xml:space="preserve">and a zinc </w:t>
      </w:r>
      <w:r w:rsidR="001479D0" w:rsidRPr="006C46AB">
        <w:rPr>
          <w:rFonts w:asciiTheme="majorHAnsi" w:hAnsiTheme="majorHAnsi"/>
        </w:rPr>
        <w:t xml:space="preserve">uptake </w:t>
      </w:r>
      <w:r w:rsidRPr="006C46AB">
        <w:rPr>
          <w:rFonts w:asciiTheme="majorHAnsi" w:hAnsiTheme="majorHAnsi"/>
        </w:rPr>
        <w:t>test</w:t>
      </w:r>
      <w:r w:rsidR="00B56B56" w:rsidRPr="006C46AB">
        <w:rPr>
          <w:rFonts w:asciiTheme="majorHAnsi" w:hAnsiTheme="majorHAnsi"/>
        </w:rPr>
        <w:t>.</w:t>
      </w:r>
    </w:p>
    <w:p w14:paraId="554BDCD3" w14:textId="559F253D" w:rsidR="00B56B56" w:rsidRPr="006C46AB" w:rsidRDefault="00301F9E" w:rsidP="0025423E">
      <w:pPr>
        <w:widowControl w:val="0"/>
        <w:spacing w:line="360" w:lineRule="auto"/>
        <w:rPr>
          <w:rFonts w:asciiTheme="majorHAnsi" w:hAnsiTheme="majorHAnsi"/>
        </w:rPr>
      </w:pPr>
      <w:r w:rsidRPr="006C46AB">
        <w:rPr>
          <w:rFonts w:asciiTheme="majorHAnsi" w:hAnsiTheme="majorHAnsi"/>
          <w:i/>
        </w:rPr>
        <w:t>Results</w:t>
      </w:r>
      <w:r w:rsidR="00061F69" w:rsidRPr="006C46AB">
        <w:rPr>
          <w:rFonts w:asciiTheme="majorHAnsi" w:hAnsiTheme="majorHAnsi"/>
        </w:rPr>
        <w:t xml:space="preserve"> CLE images (median 134 for each study) showed </w:t>
      </w:r>
      <w:r w:rsidR="00901CB8" w:rsidRPr="006C46AB">
        <w:rPr>
          <w:rFonts w:asciiTheme="majorHAnsi" w:hAnsiTheme="majorHAnsi"/>
        </w:rPr>
        <w:t>virtually ubiquitous small intestinal damage</w:t>
      </w:r>
      <w:r w:rsidR="008B6644" w:rsidRPr="006C46AB">
        <w:rPr>
          <w:rFonts w:asciiTheme="majorHAnsi" w:hAnsiTheme="majorHAnsi"/>
        </w:rPr>
        <w:t xml:space="preserve">. Epithelial </w:t>
      </w:r>
      <w:r w:rsidR="007E1BE1" w:rsidRPr="006C46AB">
        <w:rPr>
          <w:rFonts w:asciiTheme="majorHAnsi" w:hAnsiTheme="majorHAnsi"/>
        </w:rPr>
        <w:t>defects</w:t>
      </w:r>
      <w:r w:rsidR="008B6644" w:rsidRPr="006C46AB">
        <w:rPr>
          <w:rFonts w:asciiTheme="majorHAnsi" w:hAnsiTheme="majorHAnsi"/>
        </w:rPr>
        <w:t>,</w:t>
      </w:r>
      <w:r w:rsidR="00061F69" w:rsidRPr="006C46AB">
        <w:rPr>
          <w:rFonts w:asciiTheme="majorHAnsi" w:hAnsiTheme="majorHAnsi"/>
        </w:rPr>
        <w:t xml:space="preserve"> imaged by histology an</w:t>
      </w:r>
      <w:r w:rsidR="008B6644" w:rsidRPr="006C46AB">
        <w:rPr>
          <w:rFonts w:asciiTheme="majorHAnsi" w:hAnsiTheme="majorHAnsi"/>
        </w:rPr>
        <w:t xml:space="preserve">d claudin 4 </w:t>
      </w:r>
      <w:r w:rsidR="00780EBC" w:rsidRPr="006C46AB">
        <w:rPr>
          <w:rFonts w:asciiTheme="majorHAnsi" w:hAnsiTheme="majorHAnsi"/>
        </w:rPr>
        <w:t>immuno</w:t>
      </w:r>
      <w:r w:rsidR="008B6644" w:rsidRPr="006C46AB">
        <w:rPr>
          <w:rFonts w:asciiTheme="majorHAnsi" w:hAnsiTheme="majorHAnsi"/>
        </w:rPr>
        <w:t xml:space="preserve">staining, were predominantly seen at the tips of villi and corresponded with </w:t>
      </w:r>
      <w:r w:rsidR="0017553E" w:rsidRPr="006C46AB">
        <w:rPr>
          <w:rFonts w:asciiTheme="majorHAnsi" w:hAnsiTheme="majorHAnsi"/>
        </w:rPr>
        <w:t xml:space="preserve">leakage imaged </w:t>
      </w:r>
      <w:r w:rsidR="0017553E" w:rsidRPr="006C46AB">
        <w:rPr>
          <w:rFonts w:asciiTheme="majorHAnsi" w:hAnsiTheme="majorHAnsi"/>
          <w:i/>
        </w:rPr>
        <w:t>in vivo</w:t>
      </w:r>
      <w:r w:rsidR="0017553E" w:rsidRPr="006C46AB">
        <w:rPr>
          <w:rFonts w:asciiTheme="majorHAnsi" w:hAnsiTheme="majorHAnsi"/>
        </w:rPr>
        <w:t xml:space="preserve"> by CLE. In multivariate analysis, c</w:t>
      </w:r>
      <w:r w:rsidR="008B6644" w:rsidRPr="006C46AB">
        <w:rPr>
          <w:rFonts w:asciiTheme="majorHAnsi" w:hAnsiTheme="majorHAnsi"/>
        </w:rPr>
        <w:t xml:space="preserve">irculating </w:t>
      </w:r>
      <w:r w:rsidR="00B347AA" w:rsidRPr="006C46AB">
        <w:rPr>
          <w:rFonts w:asciiTheme="majorHAnsi" w:hAnsiTheme="majorHAnsi"/>
        </w:rPr>
        <w:t>log-transformed LPS</w:t>
      </w:r>
      <w:r w:rsidR="008B6644" w:rsidRPr="006C46AB">
        <w:rPr>
          <w:rFonts w:asciiTheme="majorHAnsi" w:hAnsiTheme="majorHAnsi"/>
        </w:rPr>
        <w:t xml:space="preserve"> was correlated with cell shedding events </w:t>
      </w:r>
      <w:r w:rsidR="006A19A7" w:rsidRPr="006C46AB">
        <w:rPr>
          <w:rFonts w:asciiTheme="majorHAnsi" w:hAnsiTheme="majorHAnsi"/>
        </w:rPr>
        <w:t>(</w:t>
      </w:r>
      <w:r w:rsidR="006A19A7" w:rsidRPr="006C46AB">
        <w:rPr>
          <w:rFonts w:ascii="Symbol" w:hAnsi="Symbol"/>
        </w:rPr>
        <w:t></w:t>
      </w:r>
      <w:r w:rsidR="006A19A7" w:rsidRPr="006C46AB">
        <w:rPr>
          <w:rFonts w:asciiTheme="majorHAnsi" w:hAnsiTheme="majorHAnsi"/>
        </w:rPr>
        <w:t xml:space="preserve"> = 0.83; </w:t>
      </w:r>
      <w:r w:rsidR="006A19A7" w:rsidRPr="006C46AB">
        <w:rPr>
          <w:rFonts w:asciiTheme="majorHAnsi" w:hAnsiTheme="majorHAnsi"/>
          <w:i/>
        </w:rPr>
        <w:t>P</w:t>
      </w:r>
      <w:r w:rsidR="006A19A7" w:rsidRPr="006C46AB">
        <w:rPr>
          <w:rFonts w:asciiTheme="majorHAnsi" w:hAnsiTheme="majorHAnsi"/>
        </w:rPr>
        <w:t xml:space="preserve"> = 0.035) </w:t>
      </w:r>
      <w:r w:rsidR="008B6644" w:rsidRPr="006C46AB">
        <w:rPr>
          <w:rFonts w:asciiTheme="majorHAnsi" w:hAnsiTheme="majorHAnsi"/>
        </w:rPr>
        <w:t>and with serum glucagon-like peptide-2</w:t>
      </w:r>
      <w:r w:rsidR="006A19A7" w:rsidRPr="006C46AB">
        <w:rPr>
          <w:rFonts w:asciiTheme="majorHAnsi" w:hAnsiTheme="majorHAnsi"/>
        </w:rPr>
        <w:t xml:space="preserve"> (</w:t>
      </w:r>
      <w:r w:rsidR="006A19A7" w:rsidRPr="006C46AB">
        <w:rPr>
          <w:rFonts w:ascii="Symbol" w:hAnsi="Symbol"/>
        </w:rPr>
        <w:t></w:t>
      </w:r>
      <w:r w:rsidR="006A19A7" w:rsidRPr="006C46AB">
        <w:rPr>
          <w:rFonts w:asciiTheme="majorHAnsi" w:hAnsiTheme="majorHAnsi"/>
        </w:rPr>
        <w:t xml:space="preserve"> = -0.13; </w:t>
      </w:r>
      <w:r w:rsidR="006A19A7" w:rsidRPr="006C46AB">
        <w:rPr>
          <w:rFonts w:asciiTheme="majorHAnsi" w:hAnsiTheme="majorHAnsi"/>
          <w:i/>
        </w:rPr>
        <w:t>P</w:t>
      </w:r>
      <w:r w:rsidR="006A19A7" w:rsidRPr="006C46AB">
        <w:rPr>
          <w:rFonts w:asciiTheme="majorHAnsi" w:hAnsiTheme="majorHAnsi"/>
        </w:rPr>
        <w:t xml:space="preserve"> = 0.007)</w:t>
      </w:r>
      <w:r w:rsidR="008B6644" w:rsidRPr="006C46AB">
        <w:rPr>
          <w:rFonts w:asciiTheme="majorHAnsi" w:hAnsiTheme="majorHAnsi"/>
        </w:rPr>
        <w:t xml:space="preserve">. Zinc uptake from a test dose of 25mg was attenuated in 30/47 (64%) </w:t>
      </w:r>
      <w:r w:rsidR="002E0392" w:rsidRPr="006C46AB">
        <w:rPr>
          <w:rFonts w:asciiTheme="majorHAnsi" w:hAnsiTheme="majorHAnsi"/>
        </w:rPr>
        <w:t>individuals</w:t>
      </w:r>
      <w:r w:rsidR="008B6644" w:rsidRPr="006C46AB">
        <w:rPr>
          <w:rFonts w:asciiTheme="majorHAnsi" w:hAnsiTheme="majorHAnsi"/>
        </w:rPr>
        <w:t xml:space="preserve"> and </w:t>
      </w:r>
      <w:r w:rsidR="002E0392" w:rsidRPr="006C46AB">
        <w:rPr>
          <w:rFonts w:asciiTheme="majorHAnsi" w:hAnsiTheme="majorHAnsi"/>
        </w:rPr>
        <w:t xml:space="preserve">in multivariate analysis </w:t>
      </w:r>
      <w:r w:rsidR="008B6644" w:rsidRPr="006C46AB">
        <w:rPr>
          <w:rFonts w:asciiTheme="majorHAnsi" w:hAnsiTheme="majorHAnsi"/>
        </w:rPr>
        <w:t xml:space="preserve">was </w:t>
      </w:r>
      <w:r w:rsidR="002E0392" w:rsidRPr="006C46AB">
        <w:rPr>
          <w:rFonts w:asciiTheme="majorHAnsi" w:hAnsiTheme="majorHAnsi"/>
        </w:rPr>
        <w:t>reduced by HIV</w:t>
      </w:r>
      <w:r w:rsidR="00A673C6" w:rsidRPr="006C46AB">
        <w:rPr>
          <w:rFonts w:asciiTheme="majorHAnsi" w:hAnsiTheme="majorHAnsi"/>
        </w:rPr>
        <w:t>,</w:t>
      </w:r>
      <w:r w:rsidR="002E0392" w:rsidRPr="006C46AB">
        <w:rPr>
          <w:rFonts w:asciiTheme="majorHAnsi" w:hAnsiTheme="majorHAnsi"/>
        </w:rPr>
        <w:t xml:space="preserve"> but </w:t>
      </w:r>
      <w:r w:rsidR="008B6644" w:rsidRPr="006C46AB">
        <w:rPr>
          <w:rFonts w:asciiTheme="majorHAnsi" w:hAnsiTheme="majorHAnsi"/>
        </w:rPr>
        <w:t>positively correlated with</w:t>
      </w:r>
      <w:r w:rsidR="006A19A7" w:rsidRPr="006C46AB">
        <w:rPr>
          <w:rFonts w:asciiTheme="majorHAnsi" w:hAnsiTheme="majorHAnsi"/>
        </w:rPr>
        <w:t xml:space="preserve"> GLP-2 (</w:t>
      </w:r>
      <w:r w:rsidR="006A19A7" w:rsidRPr="006C46AB">
        <w:rPr>
          <w:rFonts w:ascii="Symbol" w:hAnsi="Symbol"/>
        </w:rPr>
        <w:t></w:t>
      </w:r>
      <w:r w:rsidR="006A19A7" w:rsidRPr="006C46AB">
        <w:rPr>
          <w:rFonts w:asciiTheme="majorHAnsi" w:hAnsiTheme="majorHAnsi"/>
        </w:rPr>
        <w:t xml:space="preserve"> =</w:t>
      </w:r>
      <w:r w:rsidR="00311E4E" w:rsidRPr="006C46AB">
        <w:rPr>
          <w:rFonts w:asciiTheme="majorHAnsi" w:hAnsiTheme="majorHAnsi"/>
        </w:rPr>
        <w:t xml:space="preserve"> 2.72</w:t>
      </w:r>
      <w:r w:rsidR="006A19A7" w:rsidRPr="006C46AB">
        <w:rPr>
          <w:rFonts w:asciiTheme="majorHAnsi" w:hAnsiTheme="majorHAnsi"/>
        </w:rPr>
        <w:t xml:space="preserve">; </w:t>
      </w:r>
      <w:r w:rsidR="006A19A7" w:rsidRPr="006C46AB">
        <w:rPr>
          <w:rFonts w:asciiTheme="majorHAnsi" w:hAnsiTheme="majorHAnsi"/>
          <w:i/>
        </w:rPr>
        <w:t>P</w:t>
      </w:r>
      <w:r w:rsidR="006A19A7" w:rsidRPr="006C46AB">
        <w:rPr>
          <w:rFonts w:asciiTheme="majorHAnsi" w:hAnsiTheme="majorHAnsi"/>
        </w:rPr>
        <w:t xml:space="preserve"> = 0.0</w:t>
      </w:r>
      <w:r w:rsidR="00311E4E" w:rsidRPr="006C46AB">
        <w:rPr>
          <w:rFonts w:asciiTheme="majorHAnsi" w:hAnsiTheme="majorHAnsi"/>
        </w:rPr>
        <w:t>3</w:t>
      </w:r>
      <w:r w:rsidR="006A19A7" w:rsidRPr="006C46AB">
        <w:rPr>
          <w:rFonts w:asciiTheme="majorHAnsi" w:hAnsiTheme="majorHAnsi"/>
        </w:rPr>
        <w:t xml:space="preserve">). </w:t>
      </w:r>
      <w:r w:rsidR="001E6337" w:rsidRPr="006C46AB">
        <w:rPr>
          <w:rFonts w:asciiTheme="majorHAnsi" w:hAnsiTheme="majorHAnsi"/>
        </w:rPr>
        <w:t>There was a U-shaped relationship between c</w:t>
      </w:r>
      <w:r w:rsidR="00CF4523" w:rsidRPr="006C46AB">
        <w:rPr>
          <w:rFonts w:asciiTheme="majorHAnsi" w:hAnsiTheme="majorHAnsi"/>
        </w:rPr>
        <w:t xml:space="preserve">irculating LPS </w:t>
      </w:r>
      <w:r w:rsidR="001E6337" w:rsidRPr="006C46AB">
        <w:rPr>
          <w:rFonts w:asciiTheme="majorHAnsi" w:hAnsiTheme="majorHAnsi"/>
        </w:rPr>
        <w:t xml:space="preserve">and villus surface area. </w:t>
      </w:r>
      <w:proofErr w:type="spellStart"/>
      <w:r w:rsidR="001E6337" w:rsidRPr="006C46AB">
        <w:rPr>
          <w:rFonts w:asciiTheme="majorHAnsi" w:hAnsiTheme="majorHAnsi"/>
        </w:rPr>
        <w:t>Transcriptomic</w:t>
      </w:r>
      <w:proofErr w:type="spellEnd"/>
      <w:r w:rsidR="001E6337" w:rsidRPr="006C46AB">
        <w:rPr>
          <w:rFonts w:asciiTheme="majorHAnsi" w:hAnsiTheme="majorHAnsi"/>
        </w:rPr>
        <w:t xml:space="preserve"> analysis identified 23 differentially expressed genes in severe enteropathy, </w:t>
      </w:r>
      <w:r w:rsidR="00901CB8" w:rsidRPr="006C46AB">
        <w:rPr>
          <w:rFonts w:asciiTheme="majorHAnsi" w:hAnsiTheme="majorHAnsi"/>
        </w:rPr>
        <w:t>including</w:t>
      </w:r>
      <w:r w:rsidR="001E6337" w:rsidRPr="006C46AB">
        <w:rPr>
          <w:rFonts w:asciiTheme="majorHAnsi" w:hAnsiTheme="majorHAnsi"/>
        </w:rPr>
        <w:t xml:space="preserve"> protective peptides and proteins.</w:t>
      </w:r>
    </w:p>
    <w:p w14:paraId="5A6372CD" w14:textId="0978FF60" w:rsidR="00B56B56" w:rsidRPr="006C46AB" w:rsidRDefault="00301F9E" w:rsidP="0025423E">
      <w:pPr>
        <w:widowControl w:val="0"/>
        <w:spacing w:line="360" w:lineRule="auto"/>
        <w:rPr>
          <w:rFonts w:asciiTheme="majorHAnsi" w:hAnsiTheme="majorHAnsi"/>
        </w:rPr>
      </w:pPr>
      <w:r w:rsidRPr="006C46AB">
        <w:rPr>
          <w:rFonts w:asciiTheme="majorHAnsi" w:hAnsiTheme="majorHAnsi"/>
          <w:i/>
        </w:rPr>
        <w:t>Conclusions</w:t>
      </w:r>
      <w:r w:rsidRPr="006C46AB">
        <w:rPr>
          <w:rFonts w:asciiTheme="majorHAnsi" w:hAnsiTheme="majorHAnsi"/>
        </w:rPr>
        <w:t xml:space="preserve"> </w:t>
      </w:r>
      <w:r w:rsidR="00A32D8B" w:rsidRPr="006C46AB">
        <w:rPr>
          <w:rFonts w:asciiTheme="majorHAnsi" w:hAnsiTheme="majorHAnsi"/>
        </w:rPr>
        <w:t>C</w:t>
      </w:r>
      <w:r w:rsidR="0026598C" w:rsidRPr="006C46AB">
        <w:rPr>
          <w:rFonts w:asciiTheme="majorHAnsi" w:hAnsiTheme="majorHAnsi"/>
        </w:rPr>
        <w:t>onfocal endomicroscopy</w:t>
      </w:r>
      <w:r w:rsidR="00A32D8B" w:rsidRPr="006C46AB">
        <w:rPr>
          <w:rFonts w:asciiTheme="majorHAnsi" w:hAnsiTheme="majorHAnsi"/>
        </w:rPr>
        <w:t>, claudin 4 immunostaining</w:t>
      </w:r>
      <w:r w:rsidR="0026598C" w:rsidRPr="006C46AB">
        <w:rPr>
          <w:rFonts w:asciiTheme="majorHAnsi" w:hAnsiTheme="majorHAnsi"/>
        </w:rPr>
        <w:t xml:space="preserve"> and histology </w:t>
      </w:r>
      <w:r w:rsidR="00A32D8B" w:rsidRPr="006C46AB">
        <w:rPr>
          <w:rFonts w:asciiTheme="majorHAnsi" w:hAnsiTheme="majorHAnsi"/>
        </w:rPr>
        <w:t>identify</w:t>
      </w:r>
      <w:r w:rsidR="0026598C" w:rsidRPr="006C46AB">
        <w:rPr>
          <w:rFonts w:asciiTheme="majorHAnsi" w:hAnsiTheme="majorHAnsi"/>
        </w:rPr>
        <w:t xml:space="preserve"> </w:t>
      </w:r>
      <w:r w:rsidR="00A32D8B" w:rsidRPr="006C46AB">
        <w:rPr>
          <w:rFonts w:asciiTheme="majorHAnsi" w:hAnsiTheme="majorHAnsi"/>
        </w:rPr>
        <w:t xml:space="preserve">epithelial </w:t>
      </w:r>
      <w:r w:rsidR="007E1BE1" w:rsidRPr="006C46AB">
        <w:rPr>
          <w:rFonts w:asciiTheme="majorHAnsi" w:hAnsiTheme="majorHAnsi"/>
        </w:rPr>
        <w:t>defects</w:t>
      </w:r>
      <w:r w:rsidR="0026598C" w:rsidRPr="006C46AB">
        <w:rPr>
          <w:rFonts w:asciiTheme="majorHAnsi" w:hAnsiTheme="majorHAnsi"/>
        </w:rPr>
        <w:t xml:space="preserve"> </w:t>
      </w:r>
      <w:r w:rsidR="00A32D8B" w:rsidRPr="006C46AB">
        <w:rPr>
          <w:rFonts w:asciiTheme="majorHAnsi" w:hAnsiTheme="majorHAnsi"/>
        </w:rPr>
        <w:t xml:space="preserve">which are probably </w:t>
      </w:r>
      <w:r w:rsidR="00D36E63" w:rsidRPr="006C46AB">
        <w:rPr>
          <w:rFonts w:asciiTheme="majorHAnsi" w:hAnsiTheme="majorHAnsi"/>
        </w:rPr>
        <w:t>sites</w:t>
      </w:r>
      <w:r w:rsidR="00A32D8B" w:rsidRPr="006C46AB">
        <w:rPr>
          <w:rFonts w:asciiTheme="majorHAnsi" w:hAnsiTheme="majorHAnsi"/>
        </w:rPr>
        <w:t xml:space="preserve"> of</w:t>
      </w:r>
      <w:r w:rsidR="0026598C" w:rsidRPr="006C46AB">
        <w:rPr>
          <w:rFonts w:asciiTheme="majorHAnsi" w:hAnsiTheme="majorHAnsi"/>
        </w:rPr>
        <w:t xml:space="preserve"> bacterial translocation</w:t>
      </w:r>
      <w:r w:rsidR="002E0392" w:rsidRPr="006C46AB">
        <w:rPr>
          <w:rFonts w:asciiTheme="majorHAnsi" w:hAnsiTheme="majorHAnsi"/>
        </w:rPr>
        <w:t xml:space="preserve">, </w:t>
      </w:r>
      <w:r w:rsidR="00A32D8B" w:rsidRPr="006C46AB">
        <w:rPr>
          <w:rFonts w:asciiTheme="majorHAnsi" w:hAnsiTheme="majorHAnsi"/>
        </w:rPr>
        <w:t xml:space="preserve">in the presence of which increased epithelial surface area increases the burden of translocation. </w:t>
      </w:r>
      <w:r w:rsidR="006A19A7" w:rsidRPr="006C46AB">
        <w:rPr>
          <w:rFonts w:asciiTheme="majorHAnsi" w:hAnsiTheme="majorHAnsi"/>
        </w:rPr>
        <w:t>GLP</w:t>
      </w:r>
      <w:r w:rsidRPr="006C46AB">
        <w:rPr>
          <w:rFonts w:asciiTheme="majorHAnsi" w:hAnsiTheme="majorHAnsi"/>
        </w:rPr>
        <w:t xml:space="preserve"> 2 </w:t>
      </w:r>
      <w:r w:rsidR="002E0392" w:rsidRPr="006C46AB">
        <w:rPr>
          <w:rFonts w:asciiTheme="majorHAnsi" w:hAnsiTheme="majorHAnsi"/>
        </w:rPr>
        <w:t xml:space="preserve">and other protective peptides </w:t>
      </w:r>
      <w:r w:rsidRPr="006C46AB">
        <w:rPr>
          <w:rFonts w:asciiTheme="majorHAnsi" w:hAnsiTheme="majorHAnsi"/>
        </w:rPr>
        <w:t xml:space="preserve">may play an important role in </w:t>
      </w:r>
      <w:r w:rsidR="00A32D8B" w:rsidRPr="006C46AB">
        <w:rPr>
          <w:rFonts w:asciiTheme="majorHAnsi" w:hAnsiTheme="majorHAnsi"/>
        </w:rPr>
        <w:t xml:space="preserve">mucosal </w:t>
      </w:r>
      <w:r w:rsidRPr="006C46AB">
        <w:rPr>
          <w:rFonts w:asciiTheme="majorHAnsi" w:hAnsiTheme="majorHAnsi"/>
        </w:rPr>
        <w:t xml:space="preserve">protection </w:t>
      </w:r>
      <w:r w:rsidR="00D36E63" w:rsidRPr="006C46AB">
        <w:rPr>
          <w:rFonts w:asciiTheme="majorHAnsi" w:hAnsiTheme="majorHAnsi"/>
        </w:rPr>
        <w:t>in EE</w:t>
      </w:r>
      <w:r w:rsidRPr="006C46AB">
        <w:rPr>
          <w:rFonts w:asciiTheme="majorHAnsi" w:hAnsiTheme="majorHAnsi"/>
        </w:rPr>
        <w:t>.</w:t>
      </w:r>
    </w:p>
    <w:p w14:paraId="2EDC2521" w14:textId="77777777" w:rsidR="003123FC" w:rsidRPr="006C46AB" w:rsidRDefault="003123FC" w:rsidP="0025423E">
      <w:pPr>
        <w:widowControl w:val="0"/>
        <w:spacing w:line="360" w:lineRule="auto"/>
        <w:rPr>
          <w:rFonts w:asciiTheme="majorHAnsi" w:hAnsiTheme="majorHAnsi"/>
        </w:rPr>
      </w:pPr>
    </w:p>
    <w:p w14:paraId="4E891D5B" w14:textId="39CA0241" w:rsidR="003123FC" w:rsidRPr="006C46AB" w:rsidRDefault="009376EA" w:rsidP="0025423E">
      <w:pPr>
        <w:widowControl w:val="0"/>
        <w:spacing w:line="360" w:lineRule="auto"/>
        <w:rPr>
          <w:rFonts w:asciiTheme="majorHAnsi" w:hAnsiTheme="majorHAnsi"/>
        </w:rPr>
      </w:pPr>
      <w:r w:rsidRPr="006C46AB">
        <w:rPr>
          <w:rFonts w:asciiTheme="majorHAnsi" w:hAnsiTheme="majorHAnsi"/>
          <w:b/>
        </w:rPr>
        <w:t>Keywords:</w:t>
      </w:r>
      <w:r w:rsidRPr="006C46AB">
        <w:rPr>
          <w:rFonts w:asciiTheme="majorHAnsi" w:hAnsiTheme="majorHAnsi"/>
        </w:rPr>
        <w:t xml:space="preserve"> environmental enteropathy, environmental enteric dysfunction, Africa, HIV, microbial translocation, zinc, glucagon-like peptide 2, trefoil factor 3, </w:t>
      </w:r>
      <w:proofErr w:type="spellStart"/>
      <w:r w:rsidRPr="006C46AB">
        <w:rPr>
          <w:rFonts w:asciiTheme="majorHAnsi" w:hAnsiTheme="majorHAnsi"/>
        </w:rPr>
        <w:t>defensin</w:t>
      </w:r>
      <w:proofErr w:type="spellEnd"/>
      <w:r w:rsidRPr="006C46AB">
        <w:rPr>
          <w:rFonts w:asciiTheme="majorHAnsi" w:hAnsiTheme="majorHAnsi"/>
        </w:rPr>
        <w:t>, SPINK-4</w:t>
      </w:r>
    </w:p>
    <w:p w14:paraId="7D381900" w14:textId="77777777" w:rsidR="003123FC" w:rsidRPr="006C46AB" w:rsidRDefault="003123FC" w:rsidP="0025423E">
      <w:pPr>
        <w:widowControl w:val="0"/>
        <w:spacing w:line="360" w:lineRule="auto"/>
        <w:rPr>
          <w:rFonts w:asciiTheme="majorHAnsi" w:hAnsiTheme="majorHAnsi"/>
        </w:rPr>
      </w:pPr>
      <w:r w:rsidRPr="006C46AB">
        <w:rPr>
          <w:rFonts w:asciiTheme="majorHAnsi" w:hAnsiTheme="majorHAnsi"/>
        </w:rPr>
        <w:br w:type="page"/>
      </w:r>
    </w:p>
    <w:p w14:paraId="66CEEF43" w14:textId="268AB0F0" w:rsidR="00D12E1A" w:rsidRPr="006C46AB" w:rsidRDefault="00D12E1A" w:rsidP="0025423E">
      <w:pPr>
        <w:widowControl w:val="0"/>
        <w:spacing w:line="360" w:lineRule="auto"/>
        <w:rPr>
          <w:rFonts w:asciiTheme="majorHAnsi" w:hAnsiTheme="majorHAnsi"/>
          <w:b/>
        </w:rPr>
      </w:pPr>
      <w:r w:rsidRPr="006C46AB">
        <w:rPr>
          <w:rFonts w:asciiTheme="majorHAnsi" w:hAnsiTheme="majorHAnsi"/>
          <w:b/>
        </w:rPr>
        <w:t>Author summary</w:t>
      </w:r>
    </w:p>
    <w:p w14:paraId="5AFFE896" w14:textId="57B41885" w:rsidR="00D12E1A" w:rsidRPr="006C46AB" w:rsidRDefault="00D12E1A" w:rsidP="0025423E">
      <w:pPr>
        <w:widowControl w:val="0"/>
        <w:spacing w:line="360" w:lineRule="auto"/>
        <w:rPr>
          <w:rFonts w:asciiTheme="majorHAnsi" w:hAnsiTheme="majorHAnsi"/>
        </w:rPr>
      </w:pPr>
      <w:r w:rsidRPr="006C46AB">
        <w:rPr>
          <w:rFonts w:asciiTheme="majorHAnsi" w:hAnsiTheme="majorHAnsi"/>
        </w:rPr>
        <w:t xml:space="preserve">Environmental enteropathy is a widespread </w:t>
      </w:r>
      <w:r w:rsidR="0022420D" w:rsidRPr="006C46AB">
        <w:rPr>
          <w:rFonts w:asciiTheme="majorHAnsi" w:hAnsiTheme="majorHAnsi"/>
        </w:rPr>
        <w:t xml:space="preserve">problem in adults and children in many disadvantaged populations, particularly in the tropics. It is not attributable to one specific infectious agent, but </w:t>
      </w:r>
      <w:r w:rsidR="00B20256" w:rsidRPr="006C46AB">
        <w:rPr>
          <w:rFonts w:asciiTheme="majorHAnsi" w:hAnsiTheme="majorHAnsi"/>
        </w:rPr>
        <w:t xml:space="preserve">likely due to several insults </w:t>
      </w:r>
      <w:r w:rsidR="0022420D" w:rsidRPr="006C46AB">
        <w:rPr>
          <w:rFonts w:asciiTheme="majorHAnsi" w:hAnsiTheme="majorHAnsi"/>
        </w:rPr>
        <w:t xml:space="preserve">of environmental origin. It is associated with growth failure in children, impaired responses to oral vaccines, and contributes to micronutrient deficiencies. Many of these problems can be related to immune activation, but the pathways of immune activation are unknown. Here we show that </w:t>
      </w:r>
      <w:r w:rsidR="000748E7" w:rsidRPr="006C46AB">
        <w:rPr>
          <w:rFonts w:asciiTheme="majorHAnsi" w:hAnsiTheme="majorHAnsi"/>
        </w:rPr>
        <w:t>translocation of gut microbes and their molecular components is associated with defects in the epithelial lining of the gut, imaged using advanced endoscopic techniques. We also report evidence that these defects are associated with failure of endocrine and paracrine repair mechanisms which in health should restore the integrity of the intestinal barrier. These observations may open up new approaches for therapy for a neglected tropical disorder which impairs the health of millions of adults and children.</w:t>
      </w:r>
    </w:p>
    <w:p w14:paraId="2E6A5091" w14:textId="77777777" w:rsidR="000748E7" w:rsidRPr="006C46AB" w:rsidRDefault="000748E7" w:rsidP="0025423E">
      <w:pPr>
        <w:widowControl w:val="0"/>
        <w:spacing w:line="360" w:lineRule="auto"/>
        <w:rPr>
          <w:rFonts w:asciiTheme="majorHAnsi" w:hAnsiTheme="majorHAnsi"/>
        </w:rPr>
      </w:pPr>
    </w:p>
    <w:p w14:paraId="29206643" w14:textId="77777777" w:rsidR="00D12E1A" w:rsidRPr="006C46AB" w:rsidRDefault="00D12E1A">
      <w:pPr>
        <w:rPr>
          <w:rFonts w:asciiTheme="majorHAnsi" w:hAnsiTheme="majorHAnsi"/>
          <w:b/>
        </w:rPr>
      </w:pPr>
      <w:r w:rsidRPr="006C46AB">
        <w:rPr>
          <w:rFonts w:asciiTheme="majorHAnsi" w:hAnsiTheme="majorHAnsi"/>
          <w:b/>
        </w:rPr>
        <w:br w:type="page"/>
      </w:r>
    </w:p>
    <w:p w14:paraId="6C24193F" w14:textId="2BBDBDA0" w:rsidR="003123FC" w:rsidRPr="006C46AB" w:rsidRDefault="003123FC" w:rsidP="0025423E">
      <w:pPr>
        <w:widowControl w:val="0"/>
        <w:spacing w:line="360" w:lineRule="auto"/>
        <w:rPr>
          <w:rFonts w:asciiTheme="majorHAnsi" w:hAnsiTheme="majorHAnsi"/>
          <w:b/>
        </w:rPr>
      </w:pPr>
      <w:r w:rsidRPr="006C46AB">
        <w:rPr>
          <w:rFonts w:asciiTheme="majorHAnsi" w:hAnsiTheme="majorHAnsi"/>
          <w:b/>
        </w:rPr>
        <w:t>Introduction</w:t>
      </w:r>
    </w:p>
    <w:p w14:paraId="3FE976A7" w14:textId="14CB3C03" w:rsidR="003123FC" w:rsidRPr="006C46AB" w:rsidRDefault="000F23DA" w:rsidP="0025423E">
      <w:pPr>
        <w:widowControl w:val="0"/>
        <w:autoSpaceDE w:val="0"/>
        <w:autoSpaceDN w:val="0"/>
        <w:adjustRightInd w:val="0"/>
        <w:spacing w:line="360" w:lineRule="auto"/>
        <w:rPr>
          <w:rFonts w:asciiTheme="majorHAnsi" w:hAnsiTheme="majorHAnsi"/>
        </w:rPr>
      </w:pPr>
      <w:r w:rsidRPr="006C46AB">
        <w:rPr>
          <w:rFonts w:asciiTheme="majorHAnsi" w:hAnsiTheme="majorHAnsi"/>
        </w:rPr>
        <w:t xml:space="preserve">Environmental enteropathy </w:t>
      </w:r>
      <w:r w:rsidR="00074E85" w:rsidRPr="006C46AB">
        <w:rPr>
          <w:rFonts w:asciiTheme="majorHAnsi" w:hAnsiTheme="majorHAnsi"/>
        </w:rPr>
        <w:t>(EE)</w:t>
      </w:r>
      <w:r w:rsidR="007B516D" w:rsidRPr="006C46AB">
        <w:rPr>
          <w:rFonts w:asciiTheme="majorHAnsi" w:hAnsiTheme="majorHAnsi"/>
        </w:rPr>
        <w:t xml:space="preserve"> or environmental enteric dysfunction (EED)</w:t>
      </w:r>
      <w:r w:rsidR="00074E85" w:rsidRPr="006C46AB">
        <w:rPr>
          <w:rFonts w:asciiTheme="majorHAnsi" w:hAnsiTheme="majorHAnsi"/>
        </w:rPr>
        <w:t xml:space="preserve"> </w:t>
      </w:r>
      <w:r w:rsidRPr="006C46AB">
        <w:rPr>
          <w:rFonts w:asciiTheme="majorHAnsi" w:hAnsiTheme="majorHAnsi"/>
        </w:rPr>
        <w:t>is an asymptomatic disorder which was originally described as ‘tropical enteropathy’</w:t>
      </w:r>
      <w:r w:rsidR="00B938FE" w:rsidRPr="006C46AB">
        <w:rPr>
          <w:rFonts w:asciiTheme="majorHAnsi" w:hAnsiTheme="majorHAnsi"/>
          <w:vertAlign w:val="superscript"/>
        </w:rPr>
        <w:t>1,2</w:t>
      </w:r>
      <w:r w:rsidRPr="006C46AB">
        <w:rPr>
          <w:rFonts w:asciiTheme="majorHAnsi" w:hAnsiTheme="majorHAnsi"/>
        </w:rPr>
        <w:t>.</w:t>
      </w:r>
      <w:r w:rsidR="00596262" w:rsidRPr="006C46AB">
        <w:rPr>
          <w:rFonts w:asciiTheme="majorHAnsi" w:hAnsiTheme="majorHAnsi"/>
        </w:rPr>
        <w:t xml:space="preserve"> Firs</w:t>
      </w:r>
      <w:r w:rsidR="00434236" w:rsidRPr="006C46AB">
        <w:rPr>
          <w:rFonts w:asciiTheme="majorHAnsi" w:hAnsiTheme="majorHAnsi"/>
        </w:rPr>
        <w:t>t recognised as a</w:t>
      </w:r>
      <w:r w:rsidR="00901CB8" w:rsidRPr="006C46AB">
        <w:rPr>
          <w:rFonts w:asciiTheme="majorHAnsi" w:hAnsiTheme="majorHAnsi"/>
        </w:rPr>
        <w:t>n asymptomatic</w:t>
      </w:r>
      <w:r w:rsidR="00434236" w:rsidRPr="006C46AB">
        <w:rPr>
          <w:rFonts w:asciiTheme="majorHAnsi" w:hAnsiTheme="majorHAnsi"/>
        </w:rPr>
        <w:t xml:space="preserve"> variant in small intestinal mucosal architecture</w:t>
      </w:r>
      <w:r w:rsidR="00B938FE" w:rsidRPr="006C46AB">
        <w:rPr>
          <w:rFonts w:asciiTheme="majorHAnsi" w:hAnsiTheme="majorHAnsi"/>
          <w:vertAlign w:val="superscript"/>
        </w:rPr>
        <w:t>3</w:t>
      </w:r>
      <w:r w:rsidR="00434236" w:rsidRPr="006C46AB">
        <w:rPr>
          <w:rFonts w:asciiTheme="majorHAnsi" w:hAnsiTheme="majorHAnsi"/>
        </w:rPr>
        <w:t xml:space="preserve">, then as a cause of subtle malabsorption without obvious clinical consequences, it is now recognised as a major contributor to the poor </w:t>
      </w:r>
      <w:r w:rsidR="00156A5A" w:rsidRPr="006C46AB">
        <w:rPr>
          <w:rFonts w:asciiTheme="majorHAnsi" w:hAnsiTheme="majorHAnsi"/>
        </w:rPr>
        <w:t xml:space="preserve">linear </w:t>
      </w:r>
      <w:r w:rsidR="00434236" w:rsidRPr="006C46AB">
        <w:rPr>
          <w:rFonts w:asciiTheme="majorHAnsi" w:hAnsiTheme="majorHAnsi"/>
        </w:rPr>
        <w:t xml:space="preserve">growth </w:t>
      </w:r>
      <w:r w:rsidR="00782DC7" w:rsidRPr="006C46AB">
        <w:rPr>
          <w:rFonts w:asciiTheme="majorHAnsi" w:hAnsiTheme="majorHAnsi"/>
        </w:rPr>
        <w:t xml:space="preserve">(stunting) </w:t>
      </w:r>
      <w:r w:rsidR="00434236" w:rsidRPr="006C46AB">
        <w:rPr>
          <w:rFonts w:asciiTheme="majorHAnsi" w:hAnsiTheme="majorHAnsi"/>
        </w:rPr>
        <w:t>of millions of children in many of the world’s most disadvantaged populations</w:t>
      </w:r>
      <w:r w:rsidR="00B938FE" w:rsidRPr="006C46AB">
        <w:rPr>
          <w:rFonts w:asciiTheme="majorHAnsi" w:hAnsiTheme="majorHAnsi"/>
          <w:vertAlign w:val="superscript"/>
        </w:rPr>
        <w:t>4</w:t>
      </w:r>
      <w:r w:rsidR="00434236" w:rsidRPr="006C46AB">
        <w:rPr>
          <w:rFonts w:asciiTheme="majorHAnsi" w:hAnsiTheme="majorHAnsi"/>
        </w:rPr>
        <w:t>.</w:t>
      </w:r>
      <w:r w:rsidR="00262076" w:rsidRPr="006C46AB">
        <w:rPr>
          <w:rFonts w:asciiTheme="majorHAnsi" w:hAnsiTheme="majorHAnsi"/>
        </w:rPr>
        <w:t xml:space="preserve"> </w:t>
      </w:r>
      <w:r w:rsidR="00901CB8" w:rsidRPr="006C46AB">
        <w:rPr>
          <w:rFonts w:asciiTheme="majorHAnsi" w:hAnsiTheme="majorHAnsi"/>
        </w:rPr>
        <w:t>S</w:t>
      </w:r>
      <w:r w:rsidR="00782DC7" w:rsidRPr="006C46AB">
        <w:rPr>
          <w:rFonts w:asciiTheme="majorHAnsi" w:hAnsiTheme="majorHAnsi"/>
        </w:rPr>
        <w:t xml:space="preserve">tunting </w:t>
      </w:r>
      <w:r w:rsidR="00EC6E0D" w:rsidRPr="006C46AB">
        <w:rPr>
          <w:rFonts w:asciiTheme="majorHAnsi" w:hAnsiTheme="majorHAnsi"/>
        </w:rPr>
        <w:t>affects 40% of Zambian children under 5 years of age</w:t>
      </w:r>
      <w:r w:rsidR="00C416E5" w:rsidRPr="006C46AB">
        <w:rPr>
          <w:rFonts w:asciiTheme="majorHAnsi" w:hAnsiTheme="majorHAnsi"/>
          <w:vertAlign w:val="superscript"/>
        </w:rPr>
        <w:t>5</w:t>
      </w:r>
      <w:r w:rsidR="00EC6E0D" w:rsidRPr="006C46AB">
        <w:rPr>
          <w:rFonts w:asciiTheme="majorHAnsi" w:hAnsiTheme="majorHAnsi"/>
        </w:rPr>
        <w:t xml:space="preserve"> and </w:t>
      </w:r>
      <w:r w:rsidR="00782DC7" w:rsidRPr="006C46AB">
        <w:rPr>
          <w:rFonts w:asciiTheme="majorHAnsi" w:hAnsiTheme="majorHAnsi"/>
        </w:rPr>
        <w:t>is an independent predictor of mortality, morbidity in later life, and lifelong economic disadvantage</w:t>
      </w:r>
      <w:r w:rsidR="00DE030A" w:rsidRPr="006C46AB">
        <w:rPr>
          <w:rFonts w:asciiTheme="majorHAnsi" w:hAnsiTheme="majorHAnsi"/>
          <w:vertAlign w:val="superscript"/>
        </w:rPr>
        <w:t>4</w:t>
      </w:r>
      <w:r w:rsidR="00782DC7" w:rsidRPr="006C46AB">
        <w:rPr>
          <w:rFonts w:asciiTheme="majorHAnsi" w:hAnsiTheme="majorHAnsi"/>
        </w:rPr>
        <w:t xml:space="preserve">. </w:t>
      </w:r>
      <w:r w:rsidR="00262076" w:rsidRPr="006C46AB">
        <w:rPr>
          <w:rFonts w:asciiTheme="majorHAnsi" w:hAnsiTheme="majorHAnsi"/>
        </w:rPr>
        <w:t>It seems likely that adverse environmental conditions (poor sanitation most prominently</w:t>
      </w:r>
      <w:r w:rsidR="00C416E5" w:rsidRPr="006C46AB">
        <w:rPr>
          <w:rFonts w:asciiTheme="majorHAnsi" w:hAnsiTheme="majorHAnsi"/>
          <w:vertAlign w:val="superscript"/>
        </w:rPr>
        <w:t>6</w:t>
      </w:r>
      <w:r w:rsidR="00262076" w:rsidRPr="006C46AB">
        <w:rPr>
          <w:rFonts w:asciiTheme="majorHAnsi" w:hAnsiTheme="majorHAnsi"/>
        </w:rPr>
        <w:t xml:space="preserve">) lead to recurrent intestinal damage </w:t>
      </w:r>
      <w:r w:rsidR="00780EBC" w:rsidRPr="006C46AB">
        <w:rPr>
          <w:rFonts w:asciiTheme="majorHAnsi" w:hAnsiTheme="majorHAnsi"/>
        </w:rPr>
        <w:t>causing</w:t>
      </w:r>
      <w:r w:rsidR="00262076" w:rsidRPr="006C46AB">
        <w:rPr>
          <w:rFonts w:asciiTheme="majorHAnsi" w:hAnsiTheme="majorHAnsi"/>
        </w:rPr>
        <w:t xml:space="preserve"> microbial translocation and systemic inflammation</w:t>
      </w:r>
      <w:r w:rsidR="00C416E5" w:rsidRPr="006C46AB">
        <w:rPr>
          <w:rFonts w:asciiTheme="majorHAnsi" w:hAnsiTheme="majorHAnsi"/>
          <w:vertAlign w:val="superscript"/>
        </w:rPr>
        <w:t>7</w:t>
      </w:r>
      <w:r w:rsidR="00262076" w:rsidRPr="006C46AB">
        <w:rPr>
          <w:rFonts w:asciiTheme="majorHAnsi" w:hAnsiTheme="majorHAnsi"/>
        </w:rPr>
        <w:t xml:space="preserve">. </w:t>
      </w:r>
      <w:r w:rsidR="00AC3F15" w:rsidRPr="006C46AB">
        <w:rPr>
          <w:rFonts w:asciiTheme="majorHAnsi" w:hAnsiTheme="majorHAnsi"/>
        </w:rPr>
        <w:t>This damage</w:t>
      </w:r>
      <w:r w:rsidR="00262076" w:rsidRPr="006C46AB">
        <w:rPr>
          <w:rFonts w:asciiTheme="majorHAnsi" w:hAnsiTheme="majorHAnsi"/>
        </w:rPr>
        <w:t xml:space="preserve"> is associated with impaired responses to oral vaccines such as polio, cholera and rotavirus</w:t>
      </w:r>
      <w:r w:rsidR="00C416E5" w:rsidRPr="006C46AB">
        <w:rPr>
          <w:rFonts w:asciiTheme="majorHAnsi" w:hAnsiTheme="majorHAnsi"/>
          <w:vertAlign w:val="superscript"/>
        </w:rPr>
        <w:t>7,8</w:t>
      </w:r>
      <w:r w:rsidR="00262076" w:rsidRPr="006C46AB">
        <w:rPr>
          <w:rFonts w:asciiTheme="majorHAnsi" w:hAnsiTheme="majorHAnsi"/>
        </w:rPr>
        <w:t>.</w:t>
      </w:r>
      <w:r w:rsidR="00434236" w:rsidRPr="006C46AB">
        <w:rPr>
          <w:rFonts w:asciiTheme="majorHAnsi" w:hAnsiTheme="majorHAnsi"/>
        </w:rPr>
        <w:t xml:space="preserve"> </w:t>
      </w:r>
    </w:p>
    <w:p w14:paraId="7A79CCBD" w14:textId="77777777" w:rsidR="003123FC" w:rsidRPr="006C46AB" w:rsidRDefault="003123FC" w:rsidP="0025423E">
      <w:pPr>
        <w:widowControl w:val="0"/>
        <w:spacing w:line="360" w:lineRule="auto"/>
        <w:rPr>
          <w:rFonts w:asciiTheme="majorHAnsi" w:hAnsiTheme="majorHAnsi"/>
        </w:rPr>
      </w:pPr>
    </w:p>
    <w:p w14:paraId="2D77692D" w14:textId="612DDA1D" w:rsidR="00217646" w:rsidRPr="006C46AB" w:rsidRDefault="00731E09" w:rsidP="0025423E">
      <w:pPr>
        <w:widowControl w:val="0"/>
        <w:spacing w:line="360" w:lineRule="auto"/>
        <w:rPr>
          <w:rFonts w:asciiTheme="majorHAnsi" w:hAnsiTheme="majorHAnsi"/>
        </w:rPr>
      </w:pPr>
      <w:r w:rsidRPr="006C46AB">
        <w:rPr>
          <w:rFonts w:asciiTheme="majorHAnsi" w:hAnsiTheme="majorHAnsi"/>
        </w:rPr>
        <w:t xml:space="preserve">In studies in The Gambia, </w:t>
      </w:r>
      <w:r w:rsidR="00156A5A" w:rsidRPr="006C46AB">
        <w:rPr>
          <w:rFonts w:asciiTheme="majorHAnsi" w:hAnsiTheme="majorHAnsi"/>
        </w:rPr>
        <w:t xml:space="preserve">linear </w:t>
      </w:r>
      <w:r w:rsidRPr="006C46AB">
        <w:rPr>
          <w:rFonts w:asciiTheme="majorHAnsi" w:hAnsiTheme="majorHAnsi"/>
        </w:rPr>
        <w:t xml:space="preserve">growth velocity </w:t>
      </w:r>
      <w:r w:rsidR="00156A5A" w:rsidRPr="006C46AB">
        <w:rPr>
          <w:rFonts w:asciiTheme="majorHAnsi" w:hAnsiTheme="majorHAnsi"/>
        </w:rPr>
        <w:t xml:space="preserve">during infancy </w:t>
      </w:r>
      <w:r w:rsidRPr="006C46AB">
        <w:rPr>
          <w:rFonts w:asciiTheme="majorHAnsi" w:hAnsiTheme="majorHAnsi"/>
        </w:rPr>
        <w:t xml:space="preserve">was inversely associated with </w:t>
      </w:r>
      <w:r w:rsidR="006F7354" w:rsidRPr="006C46AB">
        <w:rPr>
          <w:rFonts w:asciiTheme="majorHAnsi" w:hAnsiTheme="majorHAnsi"/>
        </w:rPr>
        <w:t xml:space="preserve">intestinal permeability, as reflected in </w:t>
      </w:r>
      <w:r w:rsidR="007B516D" w:rsidRPr="006C46AB">
        <w:rPr>
          <w:rFonts w:asciiTheme="majorHAnsi" w:hAnsiTheme="majorHAnsi"/>
        </w:rPr>
        <w:t xml:space="preserve">increased </w:t>
      </w:r>
      <w:r w:rsidR="002B7EE4" w:rsidRPr="006C46AB">
        <w:rPr>
          <w:rFonts w:asciiTheme="majorHAnsi" w:hAnsiTheme="majorHAnsi"/>
        </w:rPr>
        <w:t xml:space="preserve">lactulose permeability relative to </w:t>
      </w:r>
      <w:proofErr w:type="spellStart"/>
      <w:r w:rsidR="002B7EE4" w:rsidRPr="006C46AB">
        <w:rPr>
          <w:rFonts w:asciiTheme="majorHAnsi" w:hAnsiTheme="majorHAnsi"/>
        </w:rPr>
        <w:t>mannitol</w:t>
      </w:r>
      <w:proofErr w:type="spellEnd"/>
      <w:r w:rsidR="006F7354" w:rsidRPr="006C46AB">
        <w:rPr>
          <w:rFonts w:asciiTheme="majorHAnsi" w:hAnsiTheme="majorHAnsi"/>
        </w:rPr>
        <w:t>, and with serum antibodies to lipopolysaccharide</w:t>
      </w:r>
      <w:r w:rsidR="00C416E5" w:rsidRPr="006C46AB">
        <w:rPr>
          <w:rFonts w:asciiTheme="majorHAnsi" w:hAnsiTheme="majorHAnsi"/>
          <w:vertAlign w:val="superscript"/>
        </w:rPr>
        <w:t>9</w:t>
      </w:r>
      <w:r w:rsidR="006F1E9F" w:rsidRPr="006C46AB">
        <w:rPr>
          <w:rFonts w:asciiTheme="majorHAnsi" w:hAnsiTheme="majorHAnsi"/>
        </w:rPr>
        <w:t>. This</w:t>
      </w:r>
      <w:r w:rsidR="00AC3F15" w:rsidRPr="006C46AB">
        <w:rPr>
          <w:rFonts w:asciiTheme="majorHAnsi" w:hAnsiTheme="majorHAnsi"/>
        </w:rPr>
        <w:t xml:space="preserve"> is the most direct evidence </w:t>
      </w:r>
      <w:r w:rsidR="006F1E9F" w:rsidRPr="006C46AB">
        <w:rPr>
          <w:rFonts w:asciiTheme="majorHAnsi" w:hAnsiTheme="majorHAnsi"/>
        </w:rPr>
        <w:t xml:space="preserve">that </w:t>
      </w:r>
      <w:r w:rsidR="006445C6" w:rsidRPr="006C46AB">
        <w:rPr>
          <w:rFonts w:asciiTheme="majorHAnsi" w:hAnsiTheme="majorHAnsi"/>
        </w:rPr>
        <w:t xml:space="preserve">microbial translocation </w:t>
      </w:r>
      <w:r w:rsidR="006F1E9F" w:rsidRPr="006C46AB">
        <w:rPr>
          <w:rFonts w:asciiTheme="majorHAnsi" w:hAnsiTheme="majorHAnsi"/>
        </w:rPr>
        <w:t xml:space="preserve">is important </w:t>
      </w:r>
      <w:r w:rsidR="006445C6" w:rsidRPr="006C46AB">
        <w:rPr>
          <w:rFonts w:asciiTheme="majorHAnsi" w:hAnsiTheme="majorHAnsi"/>
        </w:rPr>
        <w:t>in the process of stunting</w:t>
      </w:r>
      <w:r w:rsidR="007C11DB" w:rsidRPr="006C46AB">
        <w:rPr>
          <w:rFonts w:asciiTheme="majorHAnsi" w:hAnsiTheme="majorHAnsi"/>
        </w:rPr>
        <w:t xml:space="preserve">. </w:t>
      </w:r>
      <w:r w:rsidR="006445C6" w:rsidRPr="006C46AB">
        <w:rPr>
          <w:rFonts w:asciiTheme="majorHAnsi" w:hAnsiTheme="majorHAnsi"/>
        </w:rPr>
        <w:t xml:space="preserve">The mechanisms </w:t>
      </w:r>
      <w:r w:rsidR="006F1E9F" w:rsidRPr="006C46AB">
        <w:rPr>
          <w:rFonts w:asciiTheme="majorHAnsi" w:hAnsiTheme="majorHAnsi"/>
        </w:rPr>
        <w:t>by which microbial translocation causes</w:t>
      </w:r>
      <w:r w:rsidR="006445C6" w:rsidRPr="006C46AB">
        <w:rPr>
          <w:rFonts w:asciiTheme="majorHAnsi" w:hAnsiTheme="majorHAnsi"/>
        </w:rPr>
        <w:t xml:space="preserve"> stunting are not </w:t>
      </w:r>
      <w:r w:rsidR="006F1E9F" w:rsidRPr="006C46AB">
        <w:rPr>
          <w:rFonts w:asciiTheme="majorHAnsi" w:hAnsiTheme="majorHAnsi"/>
        </w:rPr>
        <w:t xml:space="preserve">well </w:t>
      </w:r>
      <w:r w:rsidR="006445C6" w:rsidRPr="006C46AB">
        <w:rPr>
          <w:rFonts w:asciiTheme="majorHAnsi" w:hAnsiTheme="majorHAnsi"/>
        </w:rPr>
        <w:t xml:space="preserve">defined, but </w:t>
      </w:r>
      <w:r w:rsidR="006F1E9F" w:rsidRPr="006C46AB">
        <w:rPr>
          <w:rFonts w:asciiTheme="majorHAnsi" w:hAnsiTheme="majorHAnsi"/>
        </w:rPr>
        <w:t>probably</w:t>
      </w:r>
      <w:r w:rsidR="006445C6" w:rsidRPr="006C46AB">
        <w:rPr>
          <w:rFonts w:asciiTheme="majorHAnsi" w:hAnsiTheme="majorHAnsi"/>
        </w:rPr>
        <w:t xml:space="preserve"> the stimulation of </w:t>
      </w:r>
      <w:r w:rsidR="00C905F2" w:rsidRPr="006C46AB">
        <w:rPr>
          <w:rFonts w:asciiTheme="majorHAnsi" w:hAnsiTheme="majorHAnsi"/>
        </w:rPr>
        <w:t>innate immune cells</w:t>
      </w:r>
      <w:r w:rsidR="006445C6" w:rsidRPr="006C46AB">
        <w:rPr>
          <w:rFonts w:asciiTheme="majorHAnsi" w:hAnsiTheme="majorHAnsi"/>
        </w:rPr>
        <w:t xml:space="preserve"> </w:t>
      </w:r>
      <w:r w:rsidR="000B1B4F" w:rsidRPr="006C46AB">
        <w:rPr>
          <w:rFonts w:asciiTheme="majorHAnsi" w:hAnsiTheme="majorHAnsi"/>
        </w:rPr>
        <w:t xml:space="preserve">by ligands </w:t>
      </w:r>
      <w:r w:rsidR="00C905F2" w:rsidRPr="006C46AB">
        <w:rPr>
          <w:rFonts w:asciiTheme="majorHAnsi" w:hAnsiTheme="majorHAnsi"/>
        </w:rPr>
        <w:t>for</w:t>
      </w:r>
      <w:r w:rsidR="000B1B4F" w:rsidRPr="006C46AB">
        <w:rPr>
          <w:rFonts w:asciiTheme="majorHAnsi" w:hAnsiTheme="majorHAnsi"/>
        </w:rPr>
        <w:t xml:space="preserve"> toll-like receptor</w:t>
      </w:r>
      <w:r w:rsidR="00A673C6" w:rsidRPr="006C46AB">
        <w:rPr>
          <w:rFonts w:asciiTheme="majorHAnsi" w:hAnsiTheme="majorHAnsi"/>
        </w:rPr>
        <w:t>s such as TLR4 and TLR5</w:t>
      </w:r>
      <w:r w:rsidR="006F1E9F" w:rsidRPr="006C46AB">
        <w:rPr>
          <w:rFonts w:asciiTheme="majorHAnsi" w:hAnsiTheme="majorHAnsi"/>
        </w:rPr>
        <w:t xml:space="preserve"> lead</w:t>
      </w:r>
      <w:r w:rsidR="000B1B4F" w:rsidRPr="006C46AB">
        <w:rPr>
          <w:rFonts w:asciiTheme="majorHAnsi" w:hAnsiTheme="majorHAnsi"/>
        </w:rPr>
        <w:t xml:space="preserve"> to secretion of pro-inflammatory molecules</w:t>
      </w:r>
      <w:r w:rsidR="00F72B03" w:rsidRPr="006C46AB">
        <w:rPr>
          <w:rFonts w:asciiTheme="majorHAnsi" w:hAnsiTheme="majorHAnsi"/>
          <w:vertAlign w:val="superscript"/>
        </w:rPr>
        <w:t>10</w:t>
      </w:r>
      <w:r w:rsidR="00583B89" w:rsidRPr="006C46AB">
        <w:rPr>
          <w:rFonts w:asciiTheme="majorHAnsi" w:hAnsiTheme="majorHAnsi"/>
          <w:vertAlign w:val="superscript"/>
        </w:rPr>
        <w:t>, 11</w:t>
      </w:r>
      <w:r w:rsidR="00C27C65" w:rsidRPr="006C46AB">
        <w:rPr>
          <w:rFonts w:asciiTheme="majorHAnsi" w:hAnsiTheme="majorHAnsi"/>
        </w:rPr>
        <w:t xml:space="preserve"> which drive anorexia and disordered partitioning of nutrients.</w:t>
      </w:r>
      <w:r w:rsidR="00F72B03" w:rsidRPr="006C46AB">
        <w:rPr>
          <w:rFonts w:asciiTheme="majorHAnsi" w:hAnsiTheme="majorHAnsi"/>
        </w:rPr>
        <w:t xml:space="preserve"> </w:t>
      </w:r>
      <w:r w:rsidR="006F1E9F" w:rsidRPr="006C46AB">
        <w:rPr>
          <w:rFonts w:asciiTheme="majorHAnsi" w:hAnsiTheme="majorHAnsi"/>
        </w:rPr>
        <w:t>T</w:t>
      </w:r>
      <w:r w:rsidR="00F72B03" w:rsidRPr="006C46AB">
        <w:rPr>
          <w:rFonts w:asciiTheme="majorHAnsi" w:hAnsiTheme="majorHAnsi"/>
        </w:rPr>
        <w:t>here is abundant evidence that microbial translocation</w:t>
      </w:r>
      <w:r w:rsidR="007C11DB" w:rsidRPr="006C46AB">
        <w:rPr>
          <w:rFonts w:asciiTheme="majorHAnsi" w:hAnsiTheme="majorHAnsi"/>
        </w:rPr>
        <w:t xml:space="preserve"> with resultant systemic inflammation</w:t>
      </w:r>
      <w:r w:rsidR="00F72B03" w:rsidRPr="006C46AB">
        <w:rPr>
          <w:rFonts w:asciiTheme="majorHAnsi" w:hAnsiTheme="majorHAnsi"/>
        </w:rPr>
        <w:t xml:space="preserve"> contributes to </w:t>
      </w:r>
      <w:r w:rsidR="006F1E9F" w:rsidRPr="006C46AB">
        <w:rPr>
          <w:rFonts w:asciiTheme="majorHAnsi" w:hAnsiTheme="majorHAnsi"/>
        </w:rPr>
        <w:t>the pathogenesis of other</w:t>
      </w:r>
      <w:r w:rsidR="00F72B03" w:rsidRPr="006C46AB">
        <w:rPr>
          <w:rFonts w:asciiTheme="majorHAnsi" w:hAnsiTheme="majorHAnsi"/>
        </w:rPr>
        <w:t xml:space="preserve"> disease</w:t>
      </w:r>
      <w:r w:rsidR="00782DC7" w:rsidRPr="006C46AB">
        <w:rPr>
          <w:rFonts w:asciiTheme="majorHAnsi" w:hAnsiTheme="majorHAnsi"/>
        </w:rPr>
        <w:t>s</w:t>
      </w:r>
      <w:r w:rsidR="00F72B03" w:rsidRPr="006C46AB">
        <w:rPr>
          <w:rFonts w:asciiTheme="majorHAnsi" w:hAnsiTheme="majorHAnsi"/>
        </w:rPr>
        <w:t xml:space="preserve"> s</w:t>
      </w:r>
      <w:r w:rsidR="00D45EE9" w:rsidRPr="006C46AB">
        <w:rPr>
          <w:rFonts w:asciiTheme="majorHAnsi" w:hAnsiTheme="majorHAnsi"/>
        </w:rPr>
        <w:t>uch as cirrhosis</w:t>
      </w:r>
      <w:r w:rsidR="00D45EE9" w:rsidRPr="006C46AB">
        <w:rPr>
          <w:rFonts w:asciiTheme="majorHAnsi" w:hAnsiTheme="majorHAnsi"/>
          <w:vertAlign w:val="superscript"/>
        </w:rPr>
        <w:t xml:space="preserve">12,13 </w:t>
      </w:r>
      <w:r w:rsidR="00782DC7" w:rsidRPr="006C46AB">
        <w:rPr>
          <w:rFonts w:asciiTheme="majorHAnsi" w:hAnsiTheme="majorHAnsi"/>
        </w:rPr>
        <w:t>,</w:t>
      </w:r>
      <w:r w:rsidR="00D45EE9" w:rsidRPr="006C46AB">
        <w:rPr>
          <w:rFonts w:asciiTheme="majorHAnsi" w:hAnsiTheme="majorHAnsi"/>
        </w:rPr>
        <w:t xml:space="preserve"> HIV</w:t>
      </w:r>
      <w:r w:rsidR="00D45EE9" w:rsidRPr="006C46AB">
        <w:rPr>
          <w:rFonts w:asciiTheme="majorHAnsi" w:hAnsiTheme="majorHAnsi"/>
          <w:vertAlign w:val="superscript"/>
        </w:rPr>
        <w:t>1</w:t>
      </w:r>
      <w:r w:rsidR="00A673C6" w:rsidRPr="006C46AB">
        <w:rPr>
          <w:rFonts w:asciiTheme="majorHAnsi" w:hAnsiTheme="majorHAnsi"/>
          <w:vertAlign w:val="superscript"/>
        </w:rPr>
        <w:t>0,1</w:t>
      </w:r>
      <w:r w:rsidR="00AD17C0" w:rsidRPr="006C46AB">
        <w:rPr>
          <w:rFonts w:asciiTheme="majorHAnsi" w:hAnsiTheme="majorHAnsi"/>
          <w:vertAlign w:val="superscript"/>
        </w:rPr>
        <w:t>4</w:t>
      </w:r>
      <w:r w:rsidR="00E66B6C" w:rsidRPr="006C46AB">
        <w:rPr>
          <w:rFonts w:asciiTheme="majorHAnsi" w:hAnsiTheme="majorHAnsi"/>
          <w:vertAlign w:val="superscript"/>
        </w:rPr>
        <w:t>,15</w:t>
      </w:r>
      <w:r w:rsidR="00F72B03" w:rsidRPr="006C46AB">
        <w:rPr>
          <w:rFonts w:asciiTheme="majorHAnsi" w:hAnsiTheme="majorHAnsi"/>
        </w:rPr>
        <w:t xml:space="preserve">, </w:t>
      </w:r>
      <w:r w:rsidR="00A673C6" w:rsidRPr="006C46AB">
        <w:rPr>
          <w:rFonts w:asciiTheme="majorHAnsi" w:hAnsiTheme="majorHAnsi"/>
        </w:rPr>
        <w:t>non-alcoholic</w:t>
      </w:r>
      <w:r w:rsidR="006C3DFD" w:rsidRPr="006C46AB">
        <w:rPr>
          <w:rFonts w:asciiTheme="majorHAnsi" w:hAnsiTheme="majorHAnsi"/>
        </w:rPr>
        <w:t xml:space="preserve"> fatty liver disease</w:t>
      </w:r>
      <w:r w:rsidR="006C3DFD" w:rsidRPr="006C46AB">
        <w:rPr>
          <w:rFonts w:asciiTheme="majorHAnsi" w:hAnsiTheme="majorHAnsi"/>
          <w:vertAlign w:val="superscript"/>
        </w:rPr>
        <w:t>1</w:t>
      </w:r>
      <w:r w:rsidR="00E66B6C" w:rsidRPr="006C46AB">
        <w:rPr>
          <w:rFonts w:asciiTheme="majorHAnsi" w:hAnsiTheme="majorHAnsi"/>
          <w:vertAlign w:val="superscript"/>
        </w:rPr>
        <w:t>6</w:t>
      </w:r>
      <w:r w:rsidR="00782DC7" w:rsidRPr="006C46AB">
        <w:rPr>
          <w:rFonts w:asciiTheme="majorHAnsi" w:hAnsiTheme="majorHAnsi"/>
        </w:rPr>
        <w:t xml:space="preserve">, </w:t>
      </w:r>
      <w:r w:rsidR="0084629F" w:rsidRPr="006C46AB">
        <w:rPr>
          <w:rFonts w:asciiTheme="majorHAnsi" w:hAnsiTheme="majorHAnsi"/>
        </w:rPr>
        <w:t>Crohn’s disease</w:t>
      </w:r>
      <w:r w:rsidR="00AD17C0" w:rsidRPr="006C46AB">
        <w:rPr>
          <w:rFonts w:asciiTheme="majorHAnsi" w:hAnsiTheme="majorHAnsi"/>
          <w:vertAlign w:val="superscript"/>
        </w:rPr>
        <w:t>1</w:t>
      </w:r>
      <w:r w:rsidR="00E5340F" w:rsidRPr="006C46AB">
        <w:rPr>
          <w:rFonts w:asciiTheme="majorHAnsi" w:hAnsiTheme="majorHAnsi"/>
          <w:vertAlign w:val="superscript"/>
        </w:rPr>
        <w:t>0,1</w:t>
      </w:r>
      <w:r w:rsidR="00E66B6C" w:rsidRPr="006C46AB">
        <w:rPr>
          <w:rFonts w:asciiTheme="majorHAnsi" w:hAnsiTheme="majorHAnsi"/>
          <w:vertAlign w:val="superscript"/>
        </w:rPr>
        <w:t>7</w:t>
      </w:r>
      <w:r w:rsidR="0084629F" w:rsidRPr="006C46AB">
        <w:rPr>
          <w:rFonts w:asciiTheme="majorHAnsi" w:hAnsiTheme="majorHAnsi"/>
        </w:rPr>
        <w:t xml:space="preserve"> and coeliac disease</w:t>
      </w:r>
      <w:r w:rsidR="005236EE" w:rsidRPr="006C46AB">
        <w:rPr>
          <w:rFonts w:asciiTheme="majorHAnsi" w:hAnsiTheme="majorHAnsi"/>
          <w:vertAlign w:val="superscript"/>
        </w:rPr>
        <w:t>1</w:t>
      </w:r>
      <w:r w:rsidR="00A673C6" w:rsidRPr="006C46AB">
        <w:rPr>
          <w:rFonts w:asciiTheme="majorHAnsi" w:hAnsiTheme="majorHAnsi"/>
          <w:vertAlign w:val="superscript"/>
        </w:rPr>
        <w:t>0</w:t>
      </w:r>
      <w:r w:rsidR="0084629F" w:rsidRPr="006C46AB">
        <w:rPr>
          <w:rFonts w:asciiTheme="majorHAnsi" w:hAnsiTheme="majorHAnsi"/>
        </w:rPr>
        <w:t>, and microbial translocation predicts post-operative sepsis</w:t>
      </w:r>
      <w:r w:rsidR="005E7776" w:rsidRPr="006C46AB">
        <w:rPr>
          <w:rFonts w:asciiTheme="majorHAnsi" w:hAnsiTheme="majorHAnsi"/>
          <w:vertAlign w:val="superscript"/>
        </w:rPr>
        <w:t>18</w:t>
      </w:r>
      <w:r w:rsidR="0084629F" w:rsidRPr="006C46AB">
        <w:rPr>
          <w:rFonts w:asciiTheme="majorHAnsi" w:hAnsiTheme="majorHAnsi"/>
        </w:rPr>
        <w:t>, s</w:t>
      </w:r>
      <w:r w:rsidR="006F1E9F" w:rsidRPr="006C46AB">
        <w:rPr>
          <w:rFonts w:asciiTheme="majorHAnsi" w:hAnsiTheme="majorHAnsi"/>
        </w:rPr>
        <w:t>o further elucidation of these pathways is of considerable importance</w:t>
      </w:r>
      <w:r w:rsidR="00F72B03" w:rsidRPr="006C46AB">
        <w:rPr>
          <w:rFonts w:asciiTheme="majorHAnsi" w:hAnsiTheme="majorHAnsi"/>
        </w:rPr>
        <w:t xml:space="preserve">. </w:t>
      </w:r>
      <w:r w:rsidR="000143A8" w:rsidRPr="006C46AB">
        <w:rPr>
          <w:rFonts w:asciiTheme="majorHAnsi" w:hAnsiTheme="majorHAnsi"/>
        </w:rPr>
        <w:t xml:space="preserve">EE </w:t>
      </w:r>
      <w:r w:rsidR="0084629F" w:rsidRPr="006C46AB">
        <w:rPr>
          <w:rFonts w:asciiTheme="majorHAnsi" w:hAnsiTheme="majorHAnsi"/>
        </w:rPr>
        <w:t>itself</w:t>
      </w:r>
      <w:r w:rsidR="000143A8" w:rsidRPr="006C46AB">
        <w:rPr>
          <w:rFonts w:asciiTheme="majorHAnsi" w:hAnsiTheme="majorHAnsi"/>
        </w:rPr>
        <w:t xml:space="preserve"> is </w:t>
      </w:r>
      <w:r w:rsidR="0084629F" w:rsidRPr="006C46AB">
        <w:rPr>
          <w:rFonts w:asciiTheme="majorHAnsi" w:hAnsiTheme="majorHAnsi"/>
        </w:rPr>
        <w:t xml:space="preserve">probably </w:t>
      </w:r>
      <w:r w:rsidR="000143A8" w:rsidRPr="006C46AB">
        <w:rPr>
          <w:rFonts w:asciiTheme="majorHAnsi" w:hAnsiTheme="majorHAnsi"/>
        </w:rPr>
        <w:t>initiated by clinical</w:t>
      </w:r>
      <w:r w:rsidR="005E7776" w:rsidRPr="006C46AB">
        <w:rPr>
          <w:rFonts w:asciiTheme="majorHAnsi" w:hAnsiTheme="majorHAnsi"/>
          <w:vertAlign w:val="superscript"/>
        </w:rPr>
        <w:t>19</w:t>
      </w:r>
      <w:r w:rsidR="000143A8" w:rsidRPr="006C46AB">
        <w:rPr>
          <w:rFonts w:asciiTheme="majorHAnsi" w:hAnsiTheme="majorHAnsi"/>
        </w:rPr>
        <w:t xml:space="preserve"> and sub-clinical</w:t>
      </w:r>
      <w:r w:rsidR="005236EE" w:rsidRPr="006C46AB">
        <w:rPr>
          <w:rFonts w:asciiTheme="majorHAnsi" w:hAnsiTheme="majorHAnsi"/>
          <w:vertAlign w:val="superscript"/>
        </w:rPr>
        <w:t>2</w:t>
      </w:r>
      <w:r w:rsidR="005E7776" w:rsidRPr="006C46AB">
        <w:rPr>
          <w:rFonts w:asciiTheme="majorHAnsi" w:hAnsiTheme="majorHAnsi"/>
          <w:vertAlign w:val="superscript"/>
        </w:rPr>
        <w:t>0</w:t>
      </w:r>
      <w:r w:rsidR="000143A8" w:rsidRPr="006C46AB">
        <w:rPr>
          <w:rFonts w:asciiTheme="majorHAnsi" w:hAnsiTheme="majorHAnsi"/>
        </w:rPr>
        <w:t xml:space="preserve"> infections</w:t>
      </w:r>
      <w:r w:rsidR="00C905F2" w:rsidRPr="006C46AB">
        <w:rPr>
          <w:rFonts w:asciiTheme="majorHAnsi" w:hAnsiTheme="majorHAnsi"/>
        </w:rPr>
        <w:t xml:space="preserve"> and changes in the microbiota</w:t>
      </w:r>
      <w:r w:rsidR="000143A8" w:rsidRPr="006C46AB">
        <w:rPr>
          <w:rFonts w:asciiTheme="majorHAnsi" w:hAnsiTheme="majorHAnsi"/>
        </w:rPr>
        <w:t>.</w:t>
      </w:r>
    </w:p>
    <w:p w14:paraId="4D49521C" w14:textId="77777777" w:rsidR="002A59FB" w:rsidRPr="006C46AB" w:rsidRDefault="002A59FB" w:rsidP="0025423E">
      <w:pPr>
        <w:widowControl w:val="0"/>
        <w:spacing w:line="360" w:lineRule="auto"/>
        <w:rPr>
          <w:rFonts w:asciiTheme="majorHAnsi" w:hAnsiTheme="majorHAnsi"/>
        </w:rPr>
      </w:pPr>
    </w:p>
    <w:p w14:paraId="2DB07A54" w14:textId="3D48A309" w:rsidR="003123FC" w:rsidRPr="006C46AB" w:rsidRDefault="00C905F2" w:rsidP="0025423E">
      <w:pPr>
        <w:widowControl w:val="0"/>
        <w:spacing w:line="360" w:lineRule="auto"/>
        <w:rPr>
          <w:rFonts w:asciiTheme="majorHAnsi" w:hAnsiTheme="majorHAnsi"/>
        </w:rPr>
      </w:pPr>
      <w:r w:rsidRPr="006C46AB">
        <w:rPr>
          <w:rFonts w:asciiTheme="majorHAnsi" w:hAnsiTheme="majorHAnsi"/>
        </w:rPr>
        <w:t xml:space="preserve">The intestinal barrier is a surface which divides host and environment in the gut; although poorly defined currently, it includes the mucus layer, secreted antimicrobial peptides and IgA, epithelial cells and innate and adaptive immune cells. </w:t>
      </w:r>
      <w:r w:rsidR="007F09C8" w:rsidRPr="006C46AB">
        <w:rPr>
          <w:rFonts w:asciiTheme="majorHAnsi" w:hAnsiTheme="majorHAnsi"/>
        </w:rPr>
        <w:t xml:space="preserve">Epithelial cell polarity, and the viability of the monolayer, are dependent on the formation of </w:t>
      </w:r>
      <w:r w:rsidR="00782DC7" w:rsidRPr="006C46AB">
        <w:rPr>
          <w:rFonts w:asciiTheme="majorHAnsi" w:hAnsiTheme="majorHAnsi"/>
        </w:rPr>
        <w:t xml:space="preserve">tight junctions, </w:t>
      </w:r>
      <w:proofErr w:type="spellStart"/>
      <w:r w:rsidR="007F09C8" w:rsidRPr="006C46AB">
        <w:rPr>
          <w:rFonts w:asciiTheme="majorHAnsi" w:hAnsiTheme="majorHAnsi"/>
        </w:rPr>
        <w:t>adherens</w:t>
      </w:r>
      <w:proofErr w:type="spellEnd"/>
      <w:r w:rsidR="007F09C8" w:rsidRPr="006C46AB">
        <w:rPr>
          <w:rFonts w:asciiTheme="majorHAnsi" w:hAnsiTheme="majorHAnsi"/>
        </w:rPr>
        <w:t xml:space="preserve"> junctions,</w:t>
      </w:r>
      <w:r w:rsidR="00782DC7" w:rsidRPr="006C46AB">
        <w:rPr>
          <w:rFonts w:asciiTheme="majorHAnsi" w:hAnsiTheme="majorHAnsi"/>
        </w:rPr>
        <w:t xml:space="preserve"> and</w:t>
      </w:r>
      <w:r w:rsidR="007F09C8" w:rsidRPr="006C46AB">
        <w:rPr>
          <w:rFonts w:asciiTheme="majorHAnsi" w:hAnsiTheme="majorHAnsi"/>
        </w:rPr>
        <w:t xml:space="preserve"> desmosomes</w:t>
      </w:r>
      <w:r w:rsidR="00032126" w:rsidRPr="006C46AB">
        <w:rPr>
          <w:rFonts w:asciiTheme="majorHAnsi" w:hAnsiTheme="majorHAnsi"/>
          <w:vertAlign w:val="superscript"/>
        </w:rPr>
        <w:t>2</w:t>
      </w:r>
      <w:r w:rsidR="005E7776" w:rsidRPr="006C46AB">
        <w:rPr>
          <w:rFonts w:asciiTheme="majorHAnsi" w:hAnsiTheme="majorHAnsi"/>
          <w:vertAlign w:val="superscript"/>
        </w:rPr>
        <w:t>1</w:t>
      </w:r>
      <w:r w:rsidR="007F09C8" w:rsidRPr="006C46AB">
        <w:rPr>
          <w:rFonts w:asciiTheme="majorHAnsi" w:hAnsiTheme="majorHAnsi"/>
        </w:rPr>
        <w:t xml:space="preserve">. </w:t>
      </w:r>
      <w:r w:rsidR="00583B89" w:rsidRPr="006C46AB">
        <w:rPr>
          <w:rFonts w:asciiTheme="majorHAnsi" w:hAnsiTheme="majorHAnsi"/>
        </w:rPr>
        <w:t>Tight junctions form a key part of the epithelial barrier, and a key point at which ion selectivity is regulated by some of the</w:t>
      </w:r>
      <w:r w:rsidR="00032126" w:rsidRPr="006C46AB">
        <w:rPr>
          <w:rFonts w:asciiTheme="majorHAnsi" w:hAnsiTheme="majorHAnsi"/>
        </w:rPr>
        <w:t xml:space="preserve"> 26 human claudin genes</w:t>
      </w:r>
      <w:r w:rsidR="00032126" w:rsidRPr="006C46AB">
        <w:rPr>
          <w:rFonts w:asciiTheme="majorHAnsi" w:hAnsiTheme="majorHAnsi"/>
          <w:vertAlign w:val="superscript"/>
        </w:rPr>
        <w:t>2</w:t>
      </w:r>
      <w:r w:rsidR="005E7776" w:rsidRPr="006C46AB">
        <w:rPr>
          <w:rFonts w:asciiTheme="majorHAnsi" w:hAnsiTheme="majorHAnsi"/>
          <w:vertAlign w:val="superscript"/>
        </w:rPr>
        <w:t>2</w:t>
      </w:r>
      <w:r w:rsidR="00583B89" w:rsidRPr="006C46AB">
        <w:rPr>
          <w:rFonts w:asciiTheme="majorHAnsi" w:hAnsiTheme="majorHAnsi"/>
        </w:rPr>
        <w:t xml:space="preserve">. </w:t>
      </w:r>
      <w:r w:rsidR="00E81B53" w:rsidRPr="006C46AB">
        <w:rPr>
          <w:rFonts w:asciiTheme="majorHAnsi" w:hAnsiTheme="majorHAnsi"/>
        </w:rPr>
        <w:t>C</w:t>
      </w:r>
      <w:r w:rsidR="002A59FB" w:rsidRPr="006C46AB">
        <w:rPr>
          <w:rFonts w:asciiTheme="majorHAnsi" w:hAnsiTheme="majorHAnsi"/>
        </w:rPr>
        <w:t>ellular defects</w:t>
      </w:r>
      <w:r w:rsidR="00E81B53" w:rsidRPr="006C46AB">
        <w:rPr>
          <w:rFonts w:asciiTheme="majorHAnsi" w:hAnsiTheme="majorHAnsi"/>
        </w:rPr>
        <w:t xml:space="preserve">, such as those due to epithelial cell damage by </w:t>
      </w:r>
      <w:r w:rsidR="00E01F97" w:rsidRPr="006C46AB">
        <w:rPr>
          <w:rFonts w:asciiTheme="majorHAnsi" w:hAnsiTheme="majorHAnsi"/>
        </w:rPr>
        <w:t>TNF</w:t>
      </w:r>
      <w:r w:rsidR="00E81B53" w:rsidRPr="006C46AB">
        <w:rPr>
          <w:rFonts w:asciiTheme="majorHAnsi" w:hAnsiTheme="majorHAnsi"/>
        </w:rPr>
        <w:t>, cause major impairment of barrier function</w:t>
      </w:r>
      <w:r w:rsidR="005E7776" w:rsidRPr="006C46AB">
        <w:rPr>
          <w:rFonts w:asciiTheme="majorHAnsi" w:hAnsiTheme="majorHAnsi"/>
          <w:vertAlign w:val="superscript"/>
        </w:rPr>
        <w:t>23</w:t>
      </w:r>
      <w:r w:rsidR="00C27C65" w:rsidRPr="006C46AB">
        <w:rPr>
          <w:rFonts w:asciiTheme="majorHAnsi" w:hAnsiTheme="majorHAnsi"/>
        </w:rPr>
        <w:t xml:space="preserve">, but there has been minimal work on </w:t>
      </w:r>
      <w:r w:rsidR="002B7EE4" w:rsidRPr="006C46AB">
        <w:rPr>
          <w:rFonts w:asciiTheme="majorHAnsi" w:hAnsiTheme="majorHAnsi"/>
        </w:rPr>
        <w:t>their</w:t>
      </w:r>
      <w:r w:rsidR="00E87A37" w:rsidRPr="006C46AB">
        <w:rPr>
          <w:rFonts w:asciiTheme="majorHAnsi" w:hAnsiTheme="majorHAnsi"/>
        </w:rPr>
        <w:t xml:space="preserve"> role in</w:t>
      </w:r>
      <w:r w:rsidR="00C27C65" w:rsidRPr="006C46AB">
        <w:rPr>
          <w:rFonts w:asciiTheme="majorHAnsi" w:hAnsiTheme="majorHAnsi"/>
        </w:rPr>
        <w:t xml:space="preserve"> bacterial translocation</w:t>
      </w:r>
      <w:r w:rsidR="002A59FB" w:rsidRPr="006C46AB">
        <w:rPr>
          <w:rFonts w:asciiTheme="majorHAnsi" w:hAnsiTheme="majorHAnsi"/>
        </w:rPr>
        <w:t>.</w:t>
      </w:r>
      <w:r w:rsidR="00870E57" w:rsidRPr="006C46AB">
        <w:rPr>
          <w:rFonts w:asciiTheme="majorHAnsi" w:hAnsiTheme="majorHAnsi"/>
        </w:rPr>
        <w:t xml:space="preserve"> Disturbances of digestion and absorption are well described in EE and EED, but the long-term implications of microbial translocation in </w:t>
      </w:r>
      <w:r w:rsidR="00620D8C" w:rsidRPr="006C46AB">
        <w:rPr>
          <w:rFonts w:asciiTheme="majorHAnsi" w:hAnsiTheme="majorHAnsi"/>
        </w:rPr>
        <w:t xml:space="preserve">adults in </w:t>
      </w:r>
      <w:r w:rsidR="00870E57" w:rsidRPr="006C46AB">
        <w:rPr>
          <w:rFonts w:asciiTheme="majorHAnsi" w:hAnsiTheme="majorHAnsi"/>
        </w:rPr>
        <w:t>tropical and economically disadvantaged populations remain almost unexplored.</w:t>
      </w:r>
    </w:p>
    <w:p w14:paraId="69D75FFF" w14:textId="77777777" w:rsidR="00600DC6" w:rsidRPr="006C46AB" w:rsidRDefault="00600DC6" w:rsidP="00782DC7">
      <w:pPr>
        <w:widowControl w:val="0"/>
        <w:spacing w:line="360" w:lineRule="auto"/>
        <w:rPr>
          <w:rFonts w:asciiTheme="majorHAnsi" w:hAnsiTheme="majorHAnsi"/>
        </w:rPr>
      </w:pPr>
    </w:p>
    <w:p w14:paraId="3C90DF36" w14:textId="42ADA49B" w:rsidR="00E01F97" w:rsidRPr="006C46AB" w:rsidRDefault="00782DC7" w:rsidP="00782DC7">
      <w:pPr>
        <w:spacing w:line="360" w:lineRule="auto"/>
        <w:jc w:val="both"/>
        <w:rPr>
          <w:rFonts w:asciiTheme="majorHAnsi" w:hAnsiTheme="majorHAnsi"/>
        </w:rPr>
      </w:pPr>
      <w:r w:rsidRPr="006C46AB">
        <w:rPr>
          <w:rFonts w:asciiTheme="majorHAnsi" w:hAnsiTheme="majorHAnsi"/>
        </w:rPr>
        <w:t xml:space="preserve">Confocal laser endomicroscopy </w:t>
      </w:r>
      <w:r w:rsidR="00084769" w:rsidRPr="006C46AB">
        <w:rPr>
          <w:rFonts w:asciiTheme="majorHAnsi" w:hAnsiTheme="majorHAnsi"/>
        </w:rPr>
        <w:t xml:space="preserve">(CLE) </w:t>
      </w:r>
      <w:r w:rsidRPr="006C46AB">
        <w:rPr>
          <w:rFonts w:asciiTheme="majorHAnsi" w:hAnsiTheme="majorHAnsi"/>
        </w:rPr>
        <w:t>is a new technique for the visualisation and quantification of intestinal epithelial barrier integrity</w:t>
      </w:r>
      <w:r w:rsidR="00032126" w:rsidRPr="006C46AB">
        <w:rPr>
          <w:rFonts w:asciiTheme="majorHAnsi" w:hAnsiTheme="majorHAnsi"/>
          <w:vertAlign w:val="superscript"/>
        </w:rPr>
        <w:t>2</w:t>
      </w:r>
      <w:r w:rsidR="004171A2" w:rsidRPr="006C46AB">
        <w:rPr>
          <w:rFonts w:asciiTheme="majorHAnsi" w:hAnsiTheme="majorHAnsi"/>
          <w:vertAlign w:val="superscript"/>
        </w:rPr>
        <w:t>4</w:t>
      </w:r>
      <w:r w:rsidRPr="006C46AB">
        <w:rPr>
          <w:rFonts w:asciiTheme="majorHAnsi" w:hAnsiTheme="majorHAnsi"/>
        </w:rPr>
        <w:t xml:space="preserve">. It is the only technique that can visualise epithelial cell shedding and sites of barrier loss in patients during endoscopy in real time. </w:t>
      </w:r>
      <w:r w:rsidR="00B91553" w:rsidRPr="006C46AB">
        <w:rPr>
          <w:rFonts w:asciiTheme="majorHAnsi" w:hAnsiTheme="majorHAnsi"/>
        </w:rPr>
        <w:t>P</w:t>
      </w:r>
      <w:r w:rsidR="00A40240" w:rsidRPr="006C46AB">
        <w:rPr>
          <w:rFonts w:asciiTheme="majorHAnsi" w:hAnsiTheme="majorHAnsi"/>
        </w:rPr>
        <w:t xml:space="preserve">recise anatomic sites of barrier loss can be identified at a cellular level as “plumes” of fluorescein </w:t>
      </w:r>
      <w:proofErr w:type="spellStart"/>
      <w:r w:rsidR="00A40240" w:rsidRPr="006C46AB">
        <w:rPr>
          <w:rFonts w:asciiTheme="majorHAnsi" w:hAnsiTheme="majorHAnsi"/>
        </w:rPr>
        <w:t>effluxing</w:t>
      </w:r>
      <w:proofErr w:type="spellEnd"/>
      <w:r w:rsidR="00A40240" w:rsidRPr="006C46AB">
        <w:rPr>
          <w:rFonts w:asciiTheme="majorHAnsi" w:hAnsiTheme="majorHAnsi"/>
        </w:rPr>
        <w:t xml:space="preserve"> from the mucosal epithelial surface into the lumen</w:t>
      </w:r>
      <w:r w:rsidR="00A40240" w:rsidRPr="006C46AB">
        <w:rPr>
          <w:rFonts w:asciiTheme="majorHAnsi" w:hAnsiTheme="majorHAnsi"/>
          <w:vertAlign w:val="superscript"/>
        </w:rPr>
        <w:t>2</w:t>
      </w:r>
      <w:r w:rsidR="004171A2" w:rsidRPr="006C46AB">
        <w:rPr>
          <w:rFonts w:asciiTheme="majorHAnsi" w:hAnsiTheme="majorHAnsi"/>
          <w:vertAlign w:val="superscript"/>
        </w:rPr>
        <w:t>5</w:t>
      </w:r>
      <w:r w:rsidR="00E01F97" w:rsidRPr="006C46AB">
        <w:rPr>
          <w:rFonts w:asciiTheme="majorHAnsi" w:hAnsiTheme="majorHAnsi"/>
        </w:rPr>
        <w:t>.</w:t>
      </w:r>
      <w:r w:rsidR="00B91553" w:rsidRPr="006C46AB">
        <w:rPr>
          <w:rFonts w:asciiTheme="majorHAnsi" w:hAnsiTheme="majorHAnsi"/>
        </w:rPr>
        <w:t xml:space="preserve"> </w:t>
      </w:r>
      <w:r w:rsidR="00A40240" w:rsidRPr="006C46AB">
        <w:rPr>
          <w:rFonts w:asciiTheme="majorHAnsi" w:hAnsiTheme="majorHAnsi"/>
        </w:rPr>
        <w:t xml:space="preserve"> </w:t>
      </w:r>
      <w:r w:rsidRPr="006C46AB">
        <w:rPr>
          <w:rFonts w:asciiTheme="majorHAnsi" w:hAnsiTheme="majorHAnsi"/>
        </w:rPr>
        <w:t xml:space="preserve">CLE has been used to demonstrate that excessive cell shedding, epithelial </w:t>
      </w:r>
      <w:proofErr w:type="spellStart"/>
      <w:r w:rsidRPr="006C46AB">
        <w:rPr>
          <w:rFonts w:asciiTheme="majorHAnsi" w:hAnsiTheme="majorHAnsi"/>
        </w:rPr>
        <w:t>microerosions</w:t>
      </w:r>
      <w:proofErr w:type="spellEnd"/>
      <w:r w:rsidRPr="006C46AB">
        <w:rPr>
          <w:rFonts w:asciiTheme="majorHAnsi" w:hAnsiTheme="majorHAnsi"/>
        </w:rPr>
        <w:t xml:space="preserve"> and barrier loss predict relapse of IBD over a 12 month period</w:t>
      </w:r>
      <w:r w:rsidR="00382F97" w:rsidRPr="006C46AB">
        <w:rPr>
          <w:rFonts w:asciiTheme="majorHAnsi" w:hAnsiTheme="majorHAnsi"/>
          <w:vertAlign w:val="superscript"/>
        </w:rPr>
        <w:t>2</w:t>
      </w:r>
      <w:r w:rsidR="004171A2" w:rsidRPr="006C46AB">
        <w:rPr>
          <w:rFonts w:asciiTheme="majorHAnsi" w:hAnsiTheme="majorHAnsi"/>
          <w:vertAlign w:val="superscript"/>
        </w:rPr>
        <w:t>5</w:t>
      </w:r>
      <w:r w:rsidRPr="006C46AB">
        <w:rPr>
          <w:rFonts w:asciiTheme="majorHAnsi" w:hAnsiTheme="majorHAnsi"/>
        </w:rPr>
        <w:t>. These data emphasise the importance of barrier integrity in the pathogenesis of intes</w:t>
      </w:r>
      <w:r w:rsidR="00032126" w:rsidRPr="006C46AB">
        <w:rPr>
          <w:rFonts w:asciiTheme="majorHAnsi" w:hAnsiTheme="majorHAnsi"/>
        </w:rPr>
        <w:t>tinal inflammation</w:t>
      </w:r>
      <w:r w:rsidRPr="006C46AB">
        <w:rPr>
          <w:rFonts w:asciiTheme="majorHAnsi" w:hAnsiTheme="majorHAnsi"/>
        </w:rPr>
        <w:t xml:space="preserve">. </w:t>
      </w:r>
    </w:p>
    <w:p w14:paraId="71213B54" w14:textId="77777777" w:rsidR="00E01F97" w:rsidRPr="006C46AB" w:rsidRDefault="00E01F97" w:rsidP="00782DC7">
      <w:pPr>
        <w:spacing w:line="360" w:lineRule="auto"/>
        <w:jc w:val="both"/>
        <w:rPr>
          <w:rFonts w:asciiTheme="majorHAnsi" w:hAnsiTheme="majorHAnsi"/>
        </w:rPr>
      </w:pPr>
    </w:p>
    <w:p w14:paraId="6651B22B" w14:textId="4081B9BF" w:rsidR="003123FC" w:rsidRPr="006C46AB" w:rsidRDefault="00EB4C74" w:rsidP="00782DC7">
      <w:pPr>
        <w:spacing w:line="360" w:lineRule="auto"/>
        <w:jc w:val="both"/>
        <w:rPr>
          <w:rFonts w:asciiTheme="majorHAnsi" w:hAnsiTheme="majorHAnsi"/>
        </w:rPr>
      </w:pPr>
      <w:r w:rsidRPr="006C46AB">
        <w:rPr>
          <w:rFonts w:asciiTheme="majorHAnsi" w:hAnsiTheme="majorHAnsi"/>
        </w:rPr>
        <w:t>The role of epithelial damage and barrier loss in the</w:t>
      </w:r>
      <w:r w:rsidR="00AC3E20" w:rsidRPr="006C46AB">
        <w:rPr>
          <w:rFonts w:asciiTheme="majorHAnsi" w:hAnsiTheme="majorHAnsi"/>
        </w:rPr>
        <w:t xml:space="preserve"> </w:t>
      </w:r>
      <w:r w:rsidR="009C10D7" w:rsidRPr="006C46AB">
        <w:rPr>
          <w:rFonts w:asciiTheme="majorHAnsi" w:hAnsiTheme="majorHAnsi"/>
        </w:rPr>
        <w:t xml:space="preserve">pathways of microbial translocation and malabsorption </w:t>
      </w:r>
      <w:r w:rsidR="00142D85" w:rsidRPr="006C46AB">
        <w:rPr>
          <w:rFonts w:asciiTheme="majorHAnsi" w:hAnsiTheme="majorHAnsi"/>
        </w:rPr>
        <w:t xml:space="preserve">in EE </w:t>
      </w:r>
      <w:r w:rsidRPr="006C46AB">
        <w:rPr>
          <w:rFonts w:asciiTheme="majorHAnsi" w:hAnsiTheme="majorHAnsi"/>
        </w:rPr>
        <w:t>has not</w:t>
      </w:r>
      <w:r w:rsidR="009C10D7" w:rsidRPr="006C46AB">
        <w:rPr>
          <w:rFonts w:asciiTheme="majorHAnsi" w:hAnsiTheme="majorHAnsi"/>
        </w:rPr>
        <w:t xml:space="preserve">, to our knowledge, </w:t>
      </w:r>
      <w:r w:rsidRPr="006C46AB">
        <w:rPr>
          <w:rFonts w:asciiTheme="majorHAnsi" w:hAnsiTheme="majorHAnsi"/>
        </w:rPr>
        <w:t>been studied</w:t>
      </w:r>
      <w:r w:rsidR="009C10D7" w:rsidRPr="006C46AB">
        <w:rPr>
          <w:rFonts w:asciiTheme="majorHAnsi" w:hAnsiTheme="majorHAnsi"/>
        </w:rPr>
        <w:t>.</w:t>
      </w:r>
      <w:r w:rsidRPr="006C46AB">
        <w:rPr>
          <w:rFonts w:asciiTheme="majorHAnsi" w:hAnsiTheme="majorHAnsi"/>
        </w:rPr>
        <w:t xml:space="preserve"> </w:t>
      </w:r>
      <w:r w:rsidR="002C1FBA" w:rsidRPr="006C46AB">
        <w:rPr>
          <w:rFonts w:asciiTheme="majorHAnsi" w:hAnsiTheme="majorHAnsi"/>
        </w:rPr>
        <w:t>As CLE cannot currently be carried out in children due to the size of the instrument tip, we studied the well-established enteropathy seen in adults in Lusaka</w:t>
      </w:r>
      <w:r w:rsidR="002C1FBA" w:rsidRPr="006C46AB">
        <w:rPr>
          <w:rFonts w:asciiTheme="majorHAnsi" w:hAnsiTheme="majorHAnsi"/>
          <w:vertAlign w:val="superscript"/>
        </w:rPr>
        <w:t>20</w:t>
      </w:r>
      <w:r w:rsidR="002C1FBA" w:rsidRPr="006C46AB">
        <w:rPr>
          <w:rFonts w:asciiTheme="majorHAnsi" w:hAnsiTheme="majorHAnsi"/>
        </w:rPr>
        <w:t xml:space="preserve">. </w:t>
      </w:r>
      <w:r w:rsidR="007F09C8" w:rsidRPr="006C46AB">
        <w:rPr>
          <w:rFonts w:asciiTheme="majorHAnsi" w:hAnsiTheme="majorHAnsi"/>
        </w:rPr>
        <w:t xml:space="preserve">We set out to identify the extent to which cellular defects contribute to </w:t>
      </w:r>
      <w:r w:rsidR="009C10D7" w:rsidRPr="006C46AB">
        <w:rPr>
          <w:rFonts w:asciiTheme="majorHAnsi" w:hAnsiTheme="majorHAnsi"/>
        </w:rPr>
        <w:t xml:space="preserve">these </w:t>
      </w:r>
      <w:r w:rsidR="007F09C8" w:rsidRPr="006C46AB">
        <w:rPr>
          <w:rFonts w:asciiTheme="majorHAnsi" w:hAnsiTheme="majorHAnsi"/>
        </w:rPr>
        <w:t>pathophysiolog</w:t>
      </w:r>
      <w:r w:rsidR="009C10D7" w:rsidRPr="006C46AB">
        <w:rPr>
          <w:rFonts w:asciiTheme="majorHAnsi" w:hAnsiTheme="majorHAnsi"/>
        </w:rPr>
        <w:t>ical processes</w:t>
      </w:r>
      <w:r w:rsidR="007F09C8" w:rsidRPr="006C46AB">
        <w:rPr>
          <w:rFonts w:asciiTheme="majorHAnsi" w:hAnsiTheme="majorHAnsi"/>
        </w:rPr>
        <w:t xml:space="preserve">. </w:t>
      </w:r>
      <w:r w:rsidR="00674C2B" w:rsidRPr="006C46AB">
        <w:rPr>
          <w:rFonts w:asciiTheme="majorHAnsi" w:hAnsiTheme="majorHAnsi"/>
        </w:rPr>
        <w:t xml:space="preserve">We studied volunteers from an impoverished urban African community, and correlated </w:t>
      </w:r>
      <w:proofErr w:type="spellStart"/>
      <w:r w:rsidR="00B56B56" w:rsidRPr="006C46AB">
        <w:rPr>
          <w:rFonts w:asciiTheme="majorHAnsi" w:hAnsiTheme="majorHAnsi"/>
        </w:rPr>
        <w:t>histopathological</w:t>
      </w:r>
      <w:proofErr w:type="spellEnd"/>
      <w:r w:rsidR="00B56B56" w:rsidRPr="006C46AB">
        <w:rPr>
          <w:rFonts w:asciiTheme="majorHAnsi" w:hAnsiTheme="majorHAnsi"/>
        </w:rPr>
        <w:t xml:space="preserve"> lesions</w:t>
      </w:r>
      <w:r w:rsidR="00CB76F4" w:rsidRPr="006C46AB">
        <w:rPr>
          <w:rFonts w:asciiTheme="majorHAnsi" w:hAnsiTheme="majorHAnsi"/>
        </w:rPr>
        <w:t xml:space="preserve">, </w:t>
      </w:r>
      <w:r w:rsidR="00B56B56" w:rsidRPr="006C46AB">
        <w:rPr>
          <w:rFonts w:asciiTheme="majorHAnsi" w:hAnsiTheme="majorHAnsi"/>
        </w:rPr>
        <w:t>tight junction protein expression (claudin 4)</w:t>
      </w:r>
      <w:r w:rsidR="00CB76F4" w:rsidRPr="006C46AB">
        <w:rPr>
          <w:rFonts w:asciiTheme="majorHAnsi" w:hAnsiTheme="majorHAnsi"/>
        </w:rPr>
        <w:t>, and</w:t>
      </w:r>
      <w:r w:rsidR="00B56B56" w:rsidRPr="006C46AB">
        <w:rPr>
          <w:rFonts w:asciiTheme="majorHAnsi" w:hAnsiTheme="majorHAnsi"/>
        </w:rPr>
        <w:t xml:space="preserve"> </w:t>
      </w:r>
      <w:r w:rsidR="00B56B56" w:rsidRPr="006C46AB">
        <w:rPr>
          <w:rFonts w:asciiTheme="majorHAnsi" w:hAnsiTheme="majorHAnsi"/>
          <w:i/>
        </w:rPr>
        <w:t>in vivo</w:t>
      </w:r>
      <w:r w:rsidR="00B56B56" w:rsidRPr="006C46AB">
        <w:rPr>
          <w:rFonts w:asciiTheme="majorHAnsi" w:hAnsiTheme="majorHAnsi"/>
        </w:rPr>
        <w:t xml:space="preserve"> imaging using confocal endomicroscopy</w:t>
      </w:r>
      <w:r w:rsidR="00C27C65" w:rsidRPr="006C46AB">
        <w:rPr>
          <w:rFonts w:asciiTheme="majorHAnsi" w:hAnsiTheme="majorHAnsi"/>
        </w:rPr>
        <w:t xml:space="preserve"> </w:t>
      </w:r>
      <w:r w:rsidR="00CB76F4" w:rsidRPr="006C46AB">
        <w:rPr>
          <w:rFonts w:asciiTheme="majorHAnsi" w:hAnsiTheme="majorHAnsi"/>
        </w:rPr>
        <w:t>with</w:t>
      </w:r>
      <w:r w:rsidR="00C27C65" w:rsidRPr="006C46AB">
        <w:rPr>
          <w:rFonts w:asciiTheme="majorHAnsi" w:hAnsiTheme="majorHAnsi"/>
        </w:rPr>
        <w:t xml:space="preserve"> plasma markers of translocation</w:t>
      </w:r>
      <w:r w:rsidR="00C60731" w:rsidRPr="006C46AB">
        <w:rPr>
          <w:rFonts w:asciiTheme="majorHAnsi" w:hAnsiTheme="majorHAnsi"/>
        </w:rPr>
        <w:t xml:space="preserve"> and </w:t>
      </w:r>
      <w:r w:rsidR="00CB76F4" w:rsidRPr="006C46AB">
        <w:rPr>
          <w:rFonts w:asciiTheme="majorHAnsi" w:hAnsiTheme="majorHAnsi"/>
        </w:rPr>
        <w:t xml:space="preserve">zinc </w:t>
      </w:r>
      <w:r w:rsidR="00C60731" w:rsidRPr="006C46AB">
        <w:rPr>
          <w:rFonts w:asciiTheme="majorHAnsi" w:hAnsiTheme="majorHAnsi"/>
        </w:rPr>
        <w:t>uptake</w:t>
      </w:r>
      <w:r w:rsidR="00C0785E" w:rsidRPr="006C46AB">
        <w:rPr>
          <w:rFonts w:asciiTheme="majorHAnsi" w:hAnsiTheme="majorHAnsi"/>
        </w:rPr>
        <w:t xml:space="preserve"> as a marker of micronutrient absorptive capacity</w:t>
      </w:r>
      <w:r w:rsidR="00C60731" w:rsidRPr="006C46AB">
        <w:rPr>
          <w:rFonts w:asciiTheme="majorHAnsi" w:hAnsiTheme="majorHAnsi"/>
        </w:rPr>
        <w:t xml:space="preserve">. As </w:t>
      </w:r>
      <w:proofErr w:type="spellStart"/>
      <w:r w:rsidR="00C60731" w:rsidRPr="006C46AB">
        <w:rPr>
          <w:rFonts w:asciiTheme="majorHAnsi" w:hAnsiTheme="majorHAnsi"/>
        </w:rPr>
        <w:t>hypochlorhydria</w:t>
      </w:r>
      <w:proofErr w:type="spellEnd"/>
      <w:r w:rsidR="00C60731" w:rsidRPr="006C46AB">
        <w:rPr>
          <w:rFonts w:asciiTheme="majorHAnsi" w:hAnsiTheme="majorHAnsi"/>
        </w:rPr>
        <w:t xml:space="preserve"> may contribute to intestinal colonisation</w:t>
      </w:r>
      <w:r w:rsidR="004171A2" w:rsidRPr="006C46AB">
        <w:rPr>
          <w:rFonts w:asciiTheme="majorHAnsi" w:hAnsiTheme="majorHAnsi"/>
          <w:vertAlign w:val="superscript"/>
        </w:rPr>
        <w:t>26</w:t>
      </w:r>
      <w:r w:rsidR="00C60731" w:rsidRPr="006C46AB">
        <w:rPr>
          <w:rFonts w:asciiTheme="majorHAnsi" w:hAnsiTheme="majorHAnsi"/>
        </w:rPr>
        <w:t xml:space="preserve"> we measured gastric pH</w:t>
      </w:r>
      <w:r w:rsidR="00CB76F4" w:rsidRPr="006C46AB">
        <w:rPr>
          <w:rFonts w:asciiTheme="majorHAnsi" w:hAnsiTheme="majorHAnsi"/>
        </w:rPr>
        <w:t xml:space="preserve">, </w:t>
      </w:r>
      <w:r w:rsidR="00C60731" w:rsidRPr="006C46AB">
        <w:rPr>
          <w:rFonts w:asciiTheme="majorHAnsi" w:hAnsiTheme="majorHAnsi"/>
        </w:rPr>
        <w:t xml:space="preserve">and we measured serum </w:t>
      </w:r>
      <w:r w:rsidR="00267B2F" w:rsidRPr="006C46AB">
        <w:rPr>
          <w:rFonts w:asciiTheme="majorHAnsi" w:hAnsiTheme="majorHAnsi"/>
        </w:rPr>
        <w:t xml:space="preserve">intestinal type </w:t>
      </w:r>
      <w:r w:rsidR="002B7EE4" w:rsidRPr="006C46AB">
        <w:rPr>
          <w:rFonts w:asciiTheme="majorHAnsi" w:hAnsiTheme="majorHAnsi"/>
        </w:rPr>
        <w:t>fatty acid binding protein (</w:t>
      </w:r>
      <w:proofErr w:type="spellStart"/>
      <w:r w:rsidR="002B7EE4" w:rsidRPr="006C46AB">
        <w:rPr>
          <w:rFonts w:asciiTheme="majorHAnsi" w:hAnsiTheme="majorHAnsi"/>
        </w:rPr>
        <w:t>i</w:t>
      </w:r>
      <w:proofErr w:type="spellEnd"/>
      <w:r w:rsidR="002B7EE4" w:rsidRPr="006C46AB">
        <w:rPr>
          <w:rFonts w:asciiTheme="majorHAnsi" w:hAnsiTheme="majorHAnsi"/>
        </w:rPr>
        <w:t>-</w:t>
      </w:r>
      <w:r w:rsidR="00C60731" w:rsidRPr="006C46AB">
        <w:rPr>
          <w:rFonts w:asciiTheme="majorHAnsi" w:hAnsiTheme="majorHAnsi"/>
        </w:rPr>
        <w:t>FABP</w:t>
      </w:r>
      <w:r w:rsidR="002B7EE4" w:rsidRPr="006C46AB">
        <w:rPr>
          <w:rFonts w:asciiTheme="majorHAnsi" w:hAnsiTheme="majorHAnsi"/>
        </w:rPr>
        <w:t>)</w:t>
      </w:r>
      <w:r w:rsidR="00C60731" w:rsidRPr="006C46AB">
        <w:rPr>
          <w:rFonts w:asciiTheme="majorHAnsi" w:hAnsiTheme="majorHAnsi"/>
        </w:rPr>
        <w:t xml:space="preserve"> as a marker of epithelial damage</w:t>
      </w:r>
      <w:r w:rsidR="002B7EE4" w:rsidRPr="006C46AB">
        <w:rPr>
          <w:rFonts w:asciiTheme="majorHAnsi" w:hAnsiTheme="majorHAnsi"/>
        </w:rPr>
        <w:t>, inflammatory markers,</w:t>
      </w:r>
      <w:r w:rsidR="00C60731" w:rsidRPr="006C46AB">
        <w:rPr>
          <w:rFonts w:asciiTheme="majorHAnsi" w:hAnsiTheme="majorHAnsi"/>
        </w:rPr>
        <w:t xml:space="preserve"> and </w:t>
      </w:r>
      <w:r w:rsidR="00EF3292" w:rsidRPr="006C46AB">
        <w:rPr>
          <w:rFonts w:asciiTheme="majorHAnsi" w:hAnsiTheme="majorHAnsi"/>
        </w:rPr>
        <w:t>glucagon-like peptide-2 (GLP-2)</w:t>
      </w:r>
      <w:r w:rsidR="00C60731" w:rsidRPr="006C46AB">
        <w:rPr>
          <w:rFonts w:asciiTheme="majorHAnsi" w:hAnsiTheme="majorHAnsi"/>
        </w:rPr>
        <w:t xml:space="preserve"> in blood. </w:t>
      </w:r>
      <w:r w:rsidR="007C11DB" w:rsidRPr="006C46AB">
        <w:rPr>
          <w:rFonts w:asciiTheme="majorHAnsi" w:hAnsiTheme="majorHAnsi"/>
        </w:rPr>
        <w:t xml:space="preserve">Finally, </w:t>
      </w:r>
      <w:proofErr w:type="spellStart"/>
      <w:r w:rsidR="007C11DB" w:rsidRPr="006C46AB">
        <w:rPr>
          <w:rFonts w:asciiTheme="majorHAnsi" w:hAnsiTheme="majorHAnsi"/>
        </w:rPr>
        <w:t>t</w:t>
      </w:r>
      <w:r w:rsidR="00CB76F4" w:rsidRPr="006C46AB">
        <w:rPr>
          <w:rFonts w:asciiTheme="majorHAnsi" w:hAnsiTheme="majorHAnsi"/>
        </w:rPr>
        <w:t>ranscriptomic</w:t>
      </w:r>
      <w:proofErr w:type="spellEnd"/>
      <w:r w:rsidR="00CB76F4" w:rsidRPr="006C46AB">
        <w:rPr>
          <w:rFonts w:asciiTheme="majorHAnsi" w:hAnsiTheme="majorHAnsi"/>
        </w:rPr>
        <w:t xml:space="preserve"> analysis</w:t>
      </w:r>
      <w:r w:rsidR="00C60731" w:rsidRPr="006C46AB">
        <w:rPr>
          <w:rFonts w:asciiTheme="majorHAnsi" w:hAnsiTheme="majorHAnsi"/>
        </w:rPr>
        <w:t xml:space="preserve"> was used to search for novel determinants of barrier function</w:t>
      </w:r>
      <w:r w:rsidR="00B56B56" w:rsidRPr="006C46AB">
        <w:rPr>
          <w:rFonts w:asciiTheme="majorHAnsi" w:hAnsiTheme="majorHAnsi"/>
        </w:rPr>
        <w:t>.</w:t>
      </w:r>
      <w:r w:rsidR="00CB76F4" w:rsidRPr="006C46AB">
        <w:rPr>
          <w:rFonts w:asciiTheme="majorHAnsi" w:hAnsiTheme="majorHAnsi"/>
        </w:rPr>
        <w:t xml:space="preserve"> </w:t>
      </w:r>
    </w:p>
    <w:p w14:paraId="45FEFCF1" w14:textId="77777777" w:rsidR="003123FC" w:rsidRPr="006C46AB" w:rsidRDefault="003123FC" w:rsidP="00782DC7">
      <w:pPr>
        <w:widowControl w:val="0"/>
        <w:spacing w:line="360" w:lineRule="auto"/>
        <w:rPr>
          <w:rFonts w:asciiTheme="majorHAnsi" w:hAnsiTheme="majorHAnsi"/>
        </w:rPr>
      </w:pPr>
    </w:p>
    <w:p w14:paraId="623A7394" w14:textId="77777777" w:rsidR="003123FC" w:rsidRPr="006C46AB" w:rsidRDefault="003123FC" w:rsidP="0025423E">
      <w:pPr>
        <w:widowControl w:val="0"/>
        <w:spacing w:line="360" w:lineRule="auto"/>
        <w:rPr>
          <w:rFonts w:asciiTheme="majorHAnsi" w:hAnsiTheme="majorHAnsi"/>
          <w:b/>
        </w:rPr>
      </w:pPr>
      <w:r w:rsidRPr="006C46AB">
        <w:rPr>
          <w:rFonts w:asciiTheme="majorHAnsi" w:hAnsiTheme="majorHAnsi"/>
          <w:b/>
        </w:rPr>
        <w:t>Methods</w:t>
      </w:r>
    </w:p>
    <w:p w14:paraId="62F0635E" w14:textId="77777777" w:rsidR="009235E9" w:rsidRPr="006C46AB" w:rsidRDefault="009235E9" w:rsidP="0025423E">
      <w:pPr>
        <w:widowControl w:val="0"/>
        <w:spacing w:line="360" w:lineRule="auto"/>
        <w:rPr>
          <w:rFonts w:asciiTheme="majorHAnsi" w:hAnsiTheme="majorHAnsi"/>
          <w:i/>
        </w:rPr>
      </w:pPr>
      <w:r w:rsidRPr="006C46AB">
        <w:rPr>
          <w:rFonts w:asciiTheme="majorHAnsi" w:hAnsiTheme="majorHAnsi"/>
          <w:i/>
        </w:rPr>
        <w:t>Participants and recruitment</w:t>
      </w:r>
    </w:p>
    <w:p w14:paraId="7BEABFCE" w14:textId="1A438349" w:rsidR="009235E9" w:rsidRPr="006C46AB" w:rsidRDefault="0027646B" w:rsidP="0025423E">
      <w:pPr>
        <w:widowControl w:val="0"/>
        <w:spacing w:line="360" w:lineRule="auto"/>
        <w:rPr>
          <w:rFonts w:asciiTheme="majorHAnsi" w:hAnsiTheme="majorHAnsi"/>
        </w:rPr>
      </w:pPr>
      <w:r w:rsidRPr="006C46AB">
        <w:rPr>
          <w:rFonts w:asciiTheme="majorHAnsi" w:hAnsiTheme="majorHAnsi"/>
        </w:rPr>
        <w:t>Misisi compound is a district of southern Lusaka in which we have been conducting studies of EE since 1999</w:t>
      </w:r>
      <w:r w:rsidR="005236EE" w:rsidRPr="006C46AB">
        <w:rPr>
          <w:rFonts w:asciiTheme="majorHAnsi" w:hAnsiTheme="majorHAnsi"/>
          <w:vertAlign w:val="superscript"/>
        </w:rPr>
        <w:t>2</w:t>
      </w:r>
      <w:r w:rsidR="004171A2" w:rsidRPr="006C46AB">
        <w:rPr>
          <w:rFonts w:asciiTheme="majorHAnsi" w:hAnsiTheme="majorHAnsi"/>
          <w:vertAlign w:val="superscript"/>
        </w:rPr>
        <w:t>0</w:t>
      </w:r>
      <w:r w:rsidRPr="006C46AB">
        <w:rPr>
          <w:rFonts w:asciiTheme="majorHAnsi" w:hAnsiTheme="majorHAnsi"/>
        </w:rPr>
        <w:t xml:space="preserve">. </w:t>
      </w:r>
      <w:r w:rsidR="009235E9" w:rsidRPr="006C46AB">
        <w:rPr>
          <w:rFonts w:asciiTheme="majorHAnsi" w:hAnsiTheme="majorHAnsi"/>
        </w:rPr>
        <w:t>Adult volunteers were recruited using a 3-stage consent process</w:t>
      </w:r>
      <w:r w:rsidRPr="006C46AB">
        <w:rPr>
          <w:rFonts w:asciiTheme="majorHAnsi" w:hAnsiTheme="majorHAnsi"/>
        </w:rPr>
        <w:t xml:space="preserve"> which involves door-to-door invitations, focus group discussions and individual interviews</w:t>
      </w:r>
      <w:r w:rsidR="00142D85" w:rsidRPr="006C46AB">
        <w:rPr>
          <w:rFonts w:asciiTheme="majorHAnsi" w:hAnsiTheme="majorHAnsi"/>
        </w:rPr>
        <w:t xml:space="preserve"> leading to </w:t>
      </w:r>
      <w:r w:rsidR="00E14FFB">
        <w:rPr>
          <w:rFonts w:asciiTheme="majorHAnsi" w:hAnsiTheme="majorHAnsi"/>
        </w:rPr>
        <w:t xml:space="preserve">informed </w:t>
      </w:r>
      <w:bookmarkStart w:id="0" w:name="_GoBack"/>
      <w:bookmarkEnd w:id="0"/>
      <w:r w:rsidR="00142D85" w:rsidRPr="006C46AB">
        <w:rPr>
          <w:rFonts w:asciiTheme="majorHAnsi" w:hAnsiTheme="majorHAnsi"/>
        </w:rPr>
        <w:t>written consent</w:t>
      </w:r>
      <w:r w:rsidR="00251E14" w:rsidRPr="006C46AB">
        <w:rPr>
          <w:rFonts w:asciiTheme="majorHAnsi" w:hAnsiTheme="majorHAnsi"/>
        </w:rPr>
        <w:t>, and r</w:t>
      </w:r>
      <w:r w:rsidRPr="006C46AB">
        <w:rPr>
          <w:rFonts w:asciiTheme="majorHAnsi" w:hAnsiTheme="majorHAnsi"/>
        </w:rPr>
        <w:t>ecently we have incorporated laboratory visits for interest</w:t>
      </w:r>
      <w:r w:rsidR="00032126" w:rsidRPr="006C46AB">
        <w:rPr>
          <w:rFonts w:asciiTheme="majorHAnsi" w:hAnsiTheme="majorHAnsi"/>
        </w:rPr>
        <w:t>ed potential participants</w:t>
      </w:r>
      <w:r w:rsidR="00032126" w:rsidRPr="006C46AB">
        <w:rPr>
          <w:rFonts w:asciiTheme="majorHAnsi" w:hAnsiTheme="majorHAnsi"/>
          <w:vertAlign w:val="superscript"/>
        </w:rPr>
        <w:t>2</w:t>
      </w:r>
      <w:r w:rsidR="00251E14" w:rsidRPr="006C46AB">
        <w:rPr>
          <w:rFonts w:asciiTheme="majorHAnsi" w:hAnsiTheme="majorHAnsi"/>
          <w:vertAlign w:val="superscript"/>
        </w:rPr>
        <w:t>7</w:t>
      </w:r>
      <w:r w:rsidRPr="006C46AB">
        <w:rPr>
          <w:rFonts w:asciiTheme="majorHAnsi" w:hAnsiTheme="majorHAnsi"/>
        </w:rPr>
        <w:t xml:space="preserve">. </w:t>
      </w:r>
      <w:r w:rsidR="00597E53" w:rsidRPr="006C46AB">
        <w:rPr>
          <w:rFonts w:asciiTheme="majorHAnsi" w:hAnsiTheme="majorHAnsi"/>
        </w:rPr>
        <w:t>Pa</w:t>
      </w:r>
      <w:r w:rsidR="005E63BE" w:rsidRPr="006C46AB">
        <w:rPr>
          <w:rFonts w:asciiTheme="majorHAnsi" w:hAnsiTheme="majorHAnsi"/>
        </w:rPr>
        <w:t>rticipants</w:t>
      </w:r>
      <w:r w:rsidR="00597E53" w:rsidRPr="006C46AB">
        <w:rPr>
          <w:rFonts w:asciiTheme="majorHAnsi" w:hAnsiTheme="majorHAnsi"/>
        </w:rPr>
        <w:t xml:space="preserve"> with </w:t>
      </w:r>
      <w:r w:rsidR="00142D85" w:rsidRPr="006C46AB">
        <w:rPr>
          <w:rFonts w:asciiTheme="majorHAnsi" w:hAnsiTheme="majorHAnsi"/>
        </w:rPr>
        <w:t xml:space="preserve">concurrent illness, </w:t>
      </w:r>
      <w:r w:rsidR="00597E53" w:rsidRPr="006C46AB">
        <w:rPr>
          <w:rFonts w:asciiTheme="majorHAnsi" w:hAnsiTheme="majorHAnsi"/>
        </w:rPr>
        <w:t>pregnancy</w:t>
      </w:r>
      <w:r w:rsidR="005E63BE" w:rsidRPr="006C46AB">
        <w:rPr>
          <w:rFonts w:asciiTheme="majorHAnsi" w:hAnsiTheme="majorHAnsi"/>
        </w:rPr>
        <w:t>,</w:t>
      </w:r>
      <w:r w:rsidR="00597E53" w:rsidRPr="006C46AB">
        <w:rPr>
          <w:rFonts w:asciiTheme="majorHAnsi" w:hAnsiTheme="majorHAnsi"/>
        </w:rPr>
        <w:t xml:space="preserve"> or use of antibiotics or NSAIDs </w:t>
      </w:r>
      <w:r w:rsidR="00142D85" w:rsidRPr="006C46AB">
        <w:rPr>
          <w:rFonts w:asciiTheme="majorHAnsi" w:hAnsiTheme="majorHAnsi"/>
        </w:rPr>
        <w:t>within one month</w:t>
      </w:r>
      <w:r w:rsidR="005E63BE" w:rsidRPr="006C46AB">
        <w:rPr>
          <w:rFonts w:asciiTheme="majorHAnsi" w:hAnsiTheme="majorHAnsi"/>
        </w:rPr>
        <w:t xml:space="preserve">, or recent </w:t>
      </w:r>
      <w:proofErr w:type="spellStart"/>
      <w:r w:rsidR="005E63BE" w:rsidRPr="006C46AB">
        <w:rPr>
          <w:rFonts w:asciiTheme="majorHAnsi" w:hAnsiTheme="majorHAnsi"/>
        </w:rPr>
        <w:t>helminth</w:t>
      </w:r>
      <w:proofErr w:type="spellEnd"/>
      <w:r w:rsidR="005E63BE" w:rsidRPr="006C46AB">
        <w:rPr>
          <w:rFonts w:asciiTheme="majorHAnsi" w:hAnsiTheme="majorHAnsi"/>
        </w:rPr>
        <w:t xml:space="preserve"> infection detected in a single stool sample,</w:t>
      </w:r>
      <w:r w:rsidR="00142D85" w:rsidRPr="006C46AB">
        <w:rPr>
          <w:rFonts w:asciiTheme="majorHAnsi" w:hAnsiTheme="majorHAnsi"/>
        </w:rPr>
        <w:t xml:space="preserve"> </w:t>
      </w:r>
      <w:r w:rsidR="00597E53" w:rsidRPr="006C46AB">
        <w:rPr>
          <w:rFonts w:asciiTheme="majorHAnsi" w:hAnsiTheme="majorHAnsi"/>
        </w:rPr>
        <w:t xml:space="preserve">were excluded from study. </w:t>
      </w:r>
      <w:r w:rsidR="00142D85" w:rsidRPr="006C46AB">
        <w:rPr>
          <w:rFonts w:asciiTheme="majorHAnsi" w:hAnsiTheme="majorHAnsi"/>
        </w:rPr>
        <w:t xml:space="preserve">During recruitment, a thorough clinical assessment was carried out, including </w:t>
      </w:r>
      <w:r w:rsidR="005E63BE" w:rsidRPr="006C46AB">
        <w:rPr>
          <w:rFonts w:asciiTheme="majorHAnsi" w:hAnsiTheme="majorHAnsi"/>
        </w:rPr>
        <w:t>s</w:t>
      </w:r>
      <w:r w:rsidR="00627834" w:rsidRPr="006C46AB">
        <w:rPr>
          <w:rFonts w:asciiTheme="majorHAnsi" w:hAnsiTheme="majorHAnsi"/>
        </w:rPr>
        <w:t>imple anthropometry (weight, hei</w:t>
      </w:r>
      <w:r w:rsidR="005E63BE" w:rsidRPr="006C46AB">
        <w:rPr>
          <w:rFonts w:asciiTheme="majorHAnsi" w:hAnsiTheme="majorHAnsi"/>
        </w:rPr>
        <w:t>ght</w:t>
      </w:r>
      <w:r w:rsidR="00627834" w:rsidRPr="006C46AB">
        <w:rPr>
          <w:rFonts w:asciiTheme="majorHAnsi" w:hAnsiTheme="majorHAnsi"/>
        </w:rPr>
        <w:t>,</w:t>
      </w:r>
      <w:r w:rsidR="005E63BE" w:rsidRPr="006C46AB">
        <w:rPr>
          <w:rFonts w:asciiTheme="majorHAnsi" w:hAnsiTheme="majorHAnsi"/>
        </w:rPr>
        <w:t xml:space="preserve"> mid upper arm circumference). </w:t>
      </w:r>
      <w:r w:rsidR="00D9498B" w:rsidRPr="006C46AB">
        <w:rPr>
          <w:rFonts w:asciiTheme="majorHAnsi" w:hAnsiTheme="majorHAnsi"/>
        </w:rPr>
        <w:t>Approval for the study was obtained from the University of Zambia Biomedical Research Ethics Committee</w:t>
      </w:r>
      <w:r w:rsidR="0017553E" w:rsidRPr="006C46AB">
        <w:rPr>
          <w:rFonts w:asciiTheme="majorHAnsi" w:hAnsiTheme="majorHAnsi"/>
        </w:rPr>
        <w:t xml:space="preserve"> (</w:t>
      </w:r>
      <w:r w:rsidR="0017553E" w:rsidRPr="006C46AB">
        <w:rPr>
          <w:rFonts w:asciiTheme="majorHAnsi" w:hAnsiTheme="majorHAnsi" w:cs="Lucida Grande"/>
          <w:color w:val="000000"/>
        </w:rPr>
        <w:t>006-01-13,</w:t>
      </w:r>
      <w:r w:rsidR="00D9498B" w:rsidRPr="006C46AB">
        <w:rPr>
          <w:rFonts w:asciiTheme="majorHAnsi" w:hAnsiTheme="majorHAnsi" w:cs="Lucida Grande"/>
          <w:color w:val="000000"/>
        </w:rPr>
        <w:t xml:space="preserve"> 11</w:t>
      </w:r>
      <w:r w:rsidR="00D9498B" w:rsidRPr="006C46AB">
        <w:rPr>
          <w:rFonts w:asciiTheme="majorHAnsi" w:hAnsiTheme="majorHAnsi" w:cs="Lucida Grande"/>
          <w:color w:val="000000"/>
          <w:vertAlign w:val="superscript"/>
        </w:rPr>
        <w:t>th</w:t>
      </w:r>
      <w:r w:rsidR="00D9498B" w:rsidRPr="006C46AB">
        <w:rPr>
          <w:rFonts w:asciiTheme="majorHAnsi" w:hAnsiTheme="majorHAnsi" w:cs="Lucida Grande"/>
          <w:color w:val="000000"/>
        </w:rPr>
        <w:t xml:space="preserve"> April, 2013</w:t>
      </w:r>
      <w:r w:rsidR="0017553E" w:rsidRPr="006C46AB">
        <w:rPr>
          <w:rFonts w:asciiTheme="majorHAnsi" w:hAnsiTheme="majorHAnsi" w:cs="Lucida Grande"/>
          <w:color w:val="000000"/>
        </w:rPr>
        <w:t>)</w:t>
      </w:r>
      <w:r w:rsidR="00D9498B" w:rsidRPr="006C46AB">
        <w:rPr>
          <w:rFonts w:asciiTheme="majorHAnsi" w:hAnsiTheme="majorHAnsi" w:cs="Lucida Grande"/>
          <w:color w:val="000000"/>
        </w:rPr>
        <w:t>.</w:t>
      </w:r>
    </w:p>
    <w:p w14:paraId="77CD4D33" w14:textId="77777777" w:rsidR="009235E9" w:rsidRPr="006C46AB" w:rsidRDefault="009235E9" w:rsidP="0025423E">
      <w:pPr>
        <w:widowControl w:val="0"/>
        <w:spacing w:line="360" w:lineRule="auto"/>
        <w:rPr>
          <w:rFonts w:asciiTheme="majorHAnsi" w:hAnsiTheme="majorHAnsi"/>
        </w:rPr>
      </w:pPr>
    </w:p>
    <w:p w14:paraId="62A9C529" w14:textId="77777777" w:rsidR="00310199" w:rsidRPr="006C46AB" w:rsidRDefault="00310199" w:rsidP="0025423E">
      <w:pPr>
        <w:widowControl w:val="0"/>
        <w:spacing w:line="360" w:lineRule="auto"/>
        <w:rPr>
          <w:rFonts w:asciiTheme="majorHAnsi" w:hAnsiTheme="majorHAnsi"/>
          <w:i/>
        </w:rPr>
      </w:pPr>
      <w:r w:rsidRPr="006C46AB">
        <w:rPr>
          <w:rFonts w:asciiTheme="majorHAnsi" w:hAnsiTheme="majorHAnsi"/>
          <w:i/>
        </w:rPr>
        <w:t>Clinical evaluation</w:t>
      </w:r>
    </w:p>
    <w:p w14:paraId="4E793351" w14:textId="2FBE6BD5" w:rsidR="009235E9" w:rsidRPr="006C46AB" w:rsidRDefault="009235E9" w:rsidP="0025423E">
      <w:pPr>
        <w:widowControl w:val="0"/>
        <w:spacing w:line="360" w:lineRule="auto"/>
        <w:rPr>
          <w:rFonts w:asciiTheme="majorHAnsi" w:hAnsiTheme="majorHAnsi"/>
        </w:rPr>
      </w:pPr>
      <w:r w:rsidRPr="006C46AB">
        <w:rPr>
          <w:rFonts w:asciiTheme="majorHAnsi" w:hAnsiTheme="majorHAnsi"/>
        </w:rPr>
        <w:t xml:space="preserve">Following an overnight fast, blood and urine samples were collected and then 100ml of </w:t>
      </w:r>
      <w:r w:rsidR="0017553E" w:rsidRPr="006C46AB">
        <w:rPr>
          <w:rFonts w:asciiTheme="majorHAnsi" w:hAnsiTheme="majorHAnsi"/>
        </w:rPr>
        <w:t xml:space="preserve">a </w:t>
      </w:r>
      <w:r w:rsidRPr="006C46AB">
        <w:rPr>
          <w:rFonts w:asciiTheme="majorHAnsi" w:hAnsiTheme="majorHAnsi"/>
        </w:rPr>
        <w:t xml:space="preserve">test solution </w:t>
      </w:r>
      <w:r w:rsidR="0017553E" w:rsidRPr="006C46AB">
        <w:rPr>
          <w:rFonts w:asciiTheme="majorHAnsi" w:hAnsiTheme="majorHAnsi"/>
        </w:rPr>
        <w:t>containing</w:t>
      </w:r>
      <w:r w:rsidR="0027646B" w:rsidRPr="006C46AB">
        <w:rPr>
          <w:rFonts w:asciiTheme="majorHAnsi" w:hAnsiTheme="majorHAnsi"/>
        </w:rPr>
        <w:t xml:space="preserve"> 2</w:t>
      </w:r>
      <w:r w:rsidR="0017553E" w:rsidRPr="006C46AB">
        <w:rPr>
          <w:rFonts w:asciiTheme="majorHAnsi" w:hAnsiTheme="majorHAnsi"/>
        </w:rPr>
        <w:t>5</w:t>
      </w:r>
      <w:r w:rsidR="0027646B" w:rsidRPr="006C46AB">
        <w:rPr>
          <w:rFonts w:asciiTheme="majorHAnsi" w:hAnsiTheme="majorHAnsi"/>
        </w:rPr>
        <w:t xml:space="preserve">mg zinc </w:t>
      </w:r>
      <w:r w:rsidR="0017553E" w:rsidRPr="006C46AB">
        <w:rPr>
          <w:rFonts w:asciiTheme="majorHAnsi" w:hAnsiTheme="majorHAnsi"/>
        </w:rPr>
        <w:t xml:space="preserve">as zinc </w:t>
      </w:r>
      <w:r w:rsidR="0027646B" w:rsidRPr="006C46AB">
        <w:rPr>
          <w:rFonts w:asciiTheme="majorHAnsi" w:hAnsiTheme="majorHAnsi"/>
        </w:rPr>
        <w:t xml:space="preserve">sulphate </w:t>
      </w:r>
      <w:proofErr w:type="spellStart"/>
      <w:r w:rsidR="00782DC7" w:rsidRPr="006C46AB">
        <w:rPr>
          <w:rFonts w:asciiTheme="majorHAnsi" w:hAnsiTheme="majorHAnsi"/>
        </w:rPr>
        <w:t>heptahydrate</w:t>
      </w:r>
      <w:proofErr w:type="spellEnd"/>
      <w:r w:rsidR="00782DC7" w:rsidRPr="006C46AB">
        <w:rPr>
          <w:rFonts w:asciiTheme="majorHAnsi" w:hAnsiTheme="majorHAnsi"/>
        </w:rPr>
        <w:t xml:space="preserve"> </w:t>
      </w:r>
      <w:r w:rsidR="0027646B" w:rsidRPr="006C46AB">
        <w:rPr>
          <w:rFonts w:asciiTheme="majorHAnsi" w:hAnsiTheme="majorHAnsi"/>
        </w:rPr>
        <w:t>(Sigma</w:t>
      </w:r>
      <w:r w:rsidR="00723D9B" w:rsidRPr="006C46AB">
        <w:rPr>
          <w:rFonts w:asciiTheme="majorHAnsi" w:hAnsiTheme="majorHAnsi"/>
        </w:rPr>
        <w:t>, Poole, UK</w:t>
      </w:r>
      <w:r w:rsidR="0017553E" w:rsidRPr="006C46AB">
        <w:rPr>
          <w:rFonts w:asciiTheme="majorHAnsi" w:hAnsiTheme="majorHAnsi"/>
        </w:rPr>
        <w:t>)</w:t>
      </w:r>
      <w:r w:rsidR="00782DC7" w:rsidRPr="006C46AB">
        <w:rPr>
          <w:rFonts w:asciiTheme="majorHAnsi" w:hAnsiTheme="majorHAnsi"/>
        </w:rPr>
        <w:t xml:space="preserve"> was taken orally</w:t>
      </w:r>
      <w:r w:rsidR="0027646B" w:rsidRPr="006C46AB">
        <w:rPr>
          <w:rFonts w:asciiTheme="majorHAnsi" w:hAnsiTheme="majorHAnsi"/>
        </w:rPr>
        <w:t xml:space="preserve">. </w:t>
      </w:r>
      <w:r w:rsidRPr="006C46AB">
        <w:rPr>
          <w:rFonts w:asciiTheme="majorHAnsi" w:hAnsiTheme="majorHAnsi"/>
        </w:rPr>
        <w:t xml:space="preserve">After 3 hours, </w:t>
      </w:r>
      <w:r w:rsidR="00723D9B" w:rsidRPr="006C46AB">
        <w:rPr>
          <w:rFonts w:asciiTheme="majorHAnsi" w:hAnsiTheme="majorHAnsi"/>
        </w:rPr>
        <w:t>a further blood sample</w:t>
      </w:r>
      <w:r w:rsidR="0017553E" w:rsidRPr="006C46AB">
        <w:rPr>
          <w:rFonts w:asciiTheme="majorHAnsi" w:hAnsiTheme="majorHAnsi"/>
        </w:rPr>
        <w:t xml:space="preserve"> was</w:t>
      </w:r>
      <w:r w:rsidRPr="006C46AB">
        <w:rPr>
          <w:rFonts w:asciiTheme="majorHAnsi" w:hAnsiTheme="majorHAnsi"/>
        </w:rPr>
        <w:t xml:space="preserve"> collected</w:t>
      </w:r>
      <w:r w:rsidR="00723D9B" w:rsidRPr="006C46AB">
        <w:rPr>
          <w:rFonts w:asciiTheme="majorHAnsi" w:hAnsiTheme="majorHAnsi"/>
        </w:rPr>
        <w:t xml:space="preserve">. </w:t>
      </w:r>
      <w:r w:rsidR="006B44FC" w:rsidRPr="006C46AB">
        <w:rPr>
          <w:rFonts w:asciiTheme="majorHAnsi" w:hAnsiTheme="majorHAnsi"/>
        </w:rPr>
        <w:t>A</w:t>
      </w:r>
      <w:r w:rsidR="0027646B" w:rsidRPr="006C46AB">
        <w:rPr>
          <w:rFonts w:asciiTheme="majorHAnsi" w:hAnsiTheme="majorHAnsi"/>
        </w:rPr>
        <w:t>ll samples were</w:t>
      </w:r>
      <w:r w:rsidRPr="006C46AB">
        <w:rPr>
          <w:rFonts w:asciiTheme="majorHAnsi" w:hAnsiTheme="majorHAnsi"/>
        </w:rPr>
        <w:t xml:space="preserve"> centrifuged at 537</w:t>
      </w:r>
      <w:r w:rsidRPr="006C46AB">
        <w:rPr>
          <w:rFonts w:asciiTheme="majorHAnsi" w:hAnsiTheme="majorHAnsi"/>
          <w:i/>
        </w:rPr>
        <w:t>g</w:t>
      </w:r>
      <w:r w:rsidRPr="006C46AB">
        <w:rPr>
          <w:rFonts w:asciiTheme="majorHAnsi" w:hAnsiTheme="majorHAnsi"/>
        </w:rPr>
        <w:t xml:space="preserve"> for 15 minutes. </w:t>
      </w:r>
      <w:r w:rsidR="00310199" w:rsidRPr="006C46AB">
        <w:rPr>
          <w:rFonts w:asciiTheme="majorHAnsi" w:hAnsiTheme="majorHAnsi"/>
        </w:rPr>
        <w:t>E</w:t>
      </w:r>
      <w:r w:rsidR="00C84EA6" w:rsidRPr="006C46AB">
        <w:rPr>
          <w:rFonts w:asciiTheme="majorHAnsi" w:hAnsiTheme="majorHAnsi"/>
        </w:rPr>
        <w:t xml:space="preserve">ndoscopy was performed </w:t>
      </w:r>
      <w:r w:rsidR="00310199" w:rsidRPr="006C46AB">
        <w:rPr>
          <w:rFonts w:asciiTheme="majorHAnsi" w:hAnsiTheme="majorHAnsi"/>
        </w:rPr>
        <w:t xml:space="preserve">the next day, </w:t>
      </w:r>
      <w:r w:rsidR="00C84EA6" w:rsidRPr="006C46AB">
        <w:rPr>
          <w:rFonts w:asciiTheme="majorHAnsi" w:hAnsiTheme="majorHAnsi"/>
        </w:rPr>
        <w:t xml:space="preserve">under conscious sedation (2.5-10mg diazepam, 50-100mg </w:t>
      </w:r>
      <w:proofErr w:type="spellStart"/>
      <w:r w:rsidR="00C84EA6" w:rsidRPr="006C46AB">
        <w:rPr>
          <w:rFonts w:asciiTheme="majorHAnsi" w:hAnsiTheme="majorHAnsi"/>
        </w:rPr>
        <w:t>pethidine</w:t>
      </w:r>
      <w:proofErr w:type="spellEnd"/>
      <w:r w:rsidR="00C84EA6" w:rsidRPr="006C46AB">
        <w:rPr>
          <w:rFonts w:asciiTheme="majorHAnsi" w:hAnsiTheme="majorHAnsi"/>
        </w:rPr>
        <w:t xml:space="preserve"> intravenously)</w:t>
      </w:r>
      <w:r w:rsidR="00310199" w:rsidRPr="006C46AB">
        <w:rPr>
          <w:rFonts w:asciiTheme="majorHAnsi" w:hAnsiTheme="majorHAnsi"/>
        </w:rPr>
        <w:t>,</w:t>
      </w:r>
      <w:r w:rsidR="00C84EA6" w:rsidRPr="006C46AB">
        <w:rPr>
          <w:rFonts w:asciiTheme="majorHAnsi" w:hAnsiTheme="majorHAnsi"/>
        </w:rPr>
        <w:t xml:space="preserve"> using a Pentax </w:t>
      </w:r>
      <w:r w:rsidR="00EF3292" w:rsidRPr="006C46AB">
        <w:rPr>
          <w:rFonts w:asciiTheme="majorHAnsi" w:hAnsiTheme="majorHAnsi" w:cs="Times New Roman"/>
          <w:lang w:val="en-US"/>
        </w:rPr>
        <w:t>EG3870CIK</w:t>
      </w:r>
      <w:r w:rsidR="00EF3292" w:rsidRPr="006C46AB">
        <w:rPr>
          <w:rFonts w:asciiTheme="majorHAnsi" w:hAnsiTheme="majorHAnsi"/>
        </w:rPr>
        <w:t xml:space="preserve"> </w:t>
      </w:r>
      <w:r w:rsidR="00C84EA6" w:rsidRPr="006C46AB">
        <w:rPr>
          <w:rFonts w:asciiTheme="majorHAnsi" w:hAnsiTheme="majorHAnsi"/>
        </w:rPr>
        <w:t xml:space="preserve">confocal laser </w:t>
      </w:r>
      <w:proofErr w:type="spellStart"/>
      <w:r w:rsidR="00C84EA6" w:rsidRPr="006C46AB">
        <w:rPr>
          <w:rFonts w:asciiTheme="majorHAnsi" w:hAnsiTheme="majorHAnsi"/>
        </w:rPr>
        <w:t>endomicroscope</w:t>
      </w:r>
      <w:proofErr w:type="spellEnd"/>
      <w:r w:rsidR="00C84EA6" w:rsidRPr="006C46AB">
        <w:rPr>
          <w:rFonts w:asciiTheme="majorHAnsi" w:hAnsiTheme="majorHAnsi"/>
        </w:rPr>
        <w:t>. A sample of gastric fluid (2ml) was aspirated from the fundus of the stomach for pH measurement using pH test strips (Sigma, Poole, UK). Once a stable position was obtained in the second part of the duodenum</w:t>
      </w:r>
      <w:r w:rsidR="007E1BE1" w:rsidRPr="006C46AB">
        <w:rPr>
          <w:rFonts w:asciiTheme="majorHAnsi" w:hAnsiTheme="majorHAnsi"/>
        </w:rPr>
        <w:t>, as gently as possible so as to avoid trauma to the mucosa</w:t>
      </w:r>
      <w:r w:rsidR="00C84EA6" w:rsidRPr="006C46AB">
        <w:rPr>
          <w:rFonts w:asciiTheme="majorHAnsi" w:hAnsiTheme="majorHAnsi"/>
        </w:rPr>
        <w:t xml:space="preserve">, 5-10ml of 2% fluorescein was given intravenously at time 0 and images collected </w:t>
      </w:r>
      <w:r w:rsidR="002B7EE4" w:rsidRPr="006C46AB">
        <w:rPr>
          <w:rFonts w:asciiTheme="majorHAnsi" w:hAnsiTheme="majorHAnsi"/>
        </w:rPr>
        <w:t xml:space="preserve">continuously </w:t>
      </w:r>
      <w:r w:rsidR="00C84EA6" w:rsidRPr="006C46AB">
        <w:rPr>
          <w:rFonts w:asciiTheme="majorHAnsi" w:hAnsiTheme="majorHAnsi"/>
        </w:rPr>
        <w:t xml:space="preserve">for 10 </w:t>
      </w:r>
      <w:proofErr w:type="spellStart"/>
      <w:r w:rsidR="00C84EA6" w:rsidRPr="006C46AB">
        <w:rPr>
          <w:rFonts w:asciiTheme="majorHAnsi" w:hAnsiTheme="majorHAnsi"/>
        </w:rPr>
        <w:t>mins</w:t>
      </w:r>
      <w:proofErr w:type="spellEnd"/>
      <w:r w:rsidR="00C84EA6" w:rsidRPr="006C46AB">
        <w:rPr>
          <w:rFonts w:asciiTheme="majorHAnsi" w:hAnsiTheme="majorHAnsi"/>
        </w:rPr>
        <w:t xml:space="preserve">. </w:t>
      </w:r>
      <w:r w:rsidRPr="006C46AB">
        <w:rPr>
          <w:rFonts w:asciiTheme="majorHAnsi" w:hAnsiTheme="majorHAnsi"/>
        </w:rPr>
        <w:t>Three biopsies were collected</w:t>
      </w:r>
      <w:r w:rsidR="00310199" w:rsidRPr="006C46AB">
        <w:rPr>
          <w:rFonts w:asciiTheme="majorHAnsi" w:hAnsiTheme="majorHAnsi"/>
        </w:rPr>
        <w:t xml:space="preserve"> into saline, </w:t>
      </w:r>
      <w:r w:rsidR="006B44FC" w:rsidRPr="006C46AB">
        <w:rPr>
          <w:rFonts w:asciiTheme="majorHAnsi" w:hAnsiTheme="majorHAnsi"/>
        </w:rPr>
        <w:t>orientat</w:t>
      </w:r>
      <w:r w:rsidR="00310199" w:rsidRPr="006C46AB">
        <w:rPr>
          <w:rFonts w:asciiTheme="majorHAnsi" w:hAnsiTheme="majorHAnsi"/>
        </w:rPr>
        <w:t>ed under a binocular microscope, then</w:t>
      </w:r>
      <w:r w:rsidRPr="006C46AB">
        <w:rPr>
          <w:rFonts w:asciiTheme="majorHAnsi" w:hAnsiTheme="majorHAnsi"/>
        </w:rPr>
        <w:t xml:space="preserve"> fixed in formal saline. Four biopsies were snap-frozen in liquid nitrogen for RNA analysis. </w:t>
      </w:r>
      <w:r w:rsidR="006E70E1" w:rsidRPr="006C46AB">
        <w:rPr>
          <w:rFonts w:asciiTheme="majorHAnsi" w:hAnsiTheme="majorHAnsi"/>
        </w:rPr>
        <w:t>HIV serological testing was carried out with consent in all cases.</w:t>
      </w:r>
    </w:p>
    <w:p w14:paraId="1AB292A7" w14:textId="77777777" w:rsidR="009235E9" w:rsidRPr="006C46AB" w:rsidRDefault="009235E9" w:rsidP="0025423E">
      <w:pPr>
        <w:widowControl w:val="0"/>
        <w:spacing w:line="360" w:lineRule="auto"/>
        <w:rPr>
          <w:rFonts w:asciiTheme="majorHAnsi" w:hAnsiTheme="majorHAnsi"/>
        </w:rPr>
      </w:pPr>
    </w:p>
    <w:p w14:paraId="4FB0DD8B" w14:textId="54569685" w:rsidR="009235E9" w:rsidRPr="006C46AB" w:rsidRDefault="009235E9" w:rsidP="0025423E">
      <w:pPr>
        <w:widowControl w:val="0"/>
        <w:spacing w:line="360" w:lineRule="auto"/>
        <w:rPr>
          <w:rFonts w:asciiTheme="majorHAnsi" w:hAnsiTheme="majorHAnsi"/>
        </w:rPr>
      </w:pPr>
      <w:r w:rsidRPr="006C46AB">
        <w:rPr>
          <w:rFonts w:asciiTheme="majorHAnsi" w:hAnsiTheme="majorHAnsi"/>
          <w:i/>
        </w:rPr>
        <w:t>Image processing</w:t>
      </w:r>
      <w:r w:rsidR="00FD31FD" w:rsidRPr="006C46AB">
        <w:rPr>
          <w:rFonts w:asciiTheme="majorHAnsi" w:hAnsiTheme="majorHAnsi"/>
        </w:rPr>
        <w:t xml:space="preserve"> </w:t>
      </w:r>
    </w:p>
    <w:p w14:paraId="4F300545" w14:textId="3A497A95" w:rsidR="009235E9" w:rsidRPr="006C46AB" w:rsidRDefault="009235E9" w:rsidP="0025423E">
      <w:pPr>
        <w:widowControl w:val="0"/>
        <w:spacing w:line="360" w:lineRule="auto"/>
        <w:rPr>
          <w:rFonts w:asciiTheme="majorHAnsi" w:hAnsiTheme="majorHAnsi"/>
        </w:rPr>
      </w:pPr>
      <w:r w:rsidRPr="006C46AB">
        <w:rPr>
          <w:rFonts w:asciiTheme="majorHAnsi" w:hAnsiTheme="majorHAnsi"/>
        </w:rPr>
        <w:t>During the 10 minute image collection period, between 100 and 400 images were collected</w:t>
      </w:r>
      <w:r w:rsidR="00C84EA6" w:rsidRPr="006C46AB">
        <w:rPr>
          <w:rFonts w:asciiTheme="majorHAnsi" w:hAnsiTheme="majorHAnsi"/>
        </w:rPr>
        <w:t xml:space="preserve"> for later analysis</w:t>
      </w:r>
      <w:r w:rsidR="002A23DF" w:rsidRPr="006C46AB">
        <w:rPr>
          <w:rFonts w:asciiTheme="majorHAnsi" w:hAnsiTheme="majorHAnsi"/>
        </w:rPr>
        <w:t xml:space="preserve"> (</w:t>
      </w:r>
      <w:r w:rsidR="000E5606" w:rsidRPr="006C46AB">
        <w:rPr>
          <w:rFonts w:asciiTheme="majorHAnsi" w:hAnsiTheme="majorHAnsi"/>
        </w:rPr>
        <w:t xml:space="preserve">for details </w:t>
      </w:r>
      <w:r w:rsidR="002A23DF" w:rsidRPr="006C46AB">
        <w:rPr>
          <w:rFonts w:asciiTheme="majorHAnsi" w:hAnsiTheme="majorHAnsi"/>
        </w:rPr>
        <w:t>see Supplementary Material</w:t>
      </w:r>
      <w:r w:rsidR="00A0494D" w:rsidRPr="006C46AB">
        <w:rPr>
          <w:rFonts w:asciiTheme="majorHAnsi" w:hAnsiTheme="majorHAnsi"/>
        </w:rPr>
        <w:t>)</w:t>
      </w:r>
      <w:r w:rsidR="006E70E1" w:rsidRPr="006C46AB">
        <w:rPr>
          <w:rFonts w:asciiTheme="majorHAnsi" w:hAnsiTheme="majorHAnsi"/>
        </w:rPr>
        <w:t>, while slowly moving the instrument around the second and third parts of the duodenum</w:t>
      </w:r>
      <w:r w:rsidRPr="006C46AB">
        <w:rPr>
          <w:rFonts w:asciiTheme="majorHAnsi" w:hAnsiTheme="majorHAnsi"/>
        </w:rPr>
        <w:t xml:space="preserve">. </w:t>
      </w:r>
      <w:r w:rsidR="00C84EA6" w:rsidRPr="006C46AB">
        <w:rPr>
          <w:rFonts w:asciiTheme="majorHAnsi" w:hAnsiTheme="majorHAnsi"/>
        </w:rPr>
        <w:t>We determined the Watson score, a scoring system for assessing epithelial</w:t>
      </w:r>
      <w:r w:rsidR="00032126" w:rsidRPr="006C46AB">
        <w:rPr>
          <w:rFonts w:asciiTheme="majorHAnsi" w:hAnsiTheme="majorHAnsi"/>
        </w:rPr>
        <w:t xml:space="preserve"> integrity in IBD</w:t>
      </w:r>
      <w:r w:rsidR="00032126" w:rsidRPr="006C46AB">
        <w:rPr>
          <w:rFonts w:asciiTheme="majorHAnsi" w:hAnsiTheme="majorHAnsi"/>
          <w:vertAlign w:val="superscript"/>
        </w:rPr>
        <w:t>2</w:t>
      </w:r>
      <w:r w:rsidR="00251E14" w:rsidRPr="006C46AB">
        <w:rPr>
          <w:rFonts w:asciiTheme="majorHAnsi" w:hAnsiTheme="majorHAnsi"/>
          <w:vertAlign w:val="superscript"/>
        </w:rPr>
        <w:t>4</w:t>
      </w:r>
      <w:r w:rsidR="00C84EA6" w:rsidRPr="006C46AB">
        <w:rPr>
          <w:rFonts w:asciiTheme="majorHAnsi" w:hAnsiTheme="majorHAnsi"/>
        </w:rPr>
        <w:t xml:space="preserve">.  </w:t>
      </w:r>
    </w:p>
    <w:p w14:paraId="004717DD" w14:textId="77777777" w:rsidR="009235E9" w:rsidRPr="006C46AB" w:rsidRDefault="009235E9" w:rsidP="0025423E">
      <w:pPr>
        <w:widowControl w:val="0"/>
        <w:spacing w:line="360" w:lineRule="auto"/>
        <w:rPr>
          <w:rFonts w:asciiTheme="majorHAnsi" w:hAnsiTheme="majorHAnsi"/>
        </w:rPr>
      </w:pPr>
    </w:p>
    <w:p w14:paraId="426B2D10" w14:textId="77777777" w:rsidR="009235E9" w:rsidRPr="006C46AB" w:rsidRDefault="009235E9" w:rsidP="0025423E">
      <w:pPr>
        <w:widowControl w:val="0"/>
        <w:spacing w:line="360" w:lineRule="auto"/>
        <w:rPr>
          <w:rFonts w:asciiTheme="majorHAnsi" w:hAnsiTheme="majorHAnsi"/>
          <w:i/>
        </w:rPr>
      </w:pPr>
      <w:proofErr w:type="spellStart"/>
      <w:r w:rsidRPr="006C46AB">
        <w:rPr>
          <w:rFonts w:asciiTheme="majorHAnsi" w:hAnsiTheme="majorHAnsi"/>
          <w:i/>
        </w:rPr>
        <w:t>Morphometry</w:t>
      </w:r>
      <w:proofErr w:type="spellEnd"/>
    </w:p>
    <w:p w14:paraId="062ED2DE" w14:textId="6979D9F9" w:rsidR="00A530B5" w:rsidRPr="006C46AB" w:rsidRDefault="00C84EA6" w:rsidP="0025423E">
      <w:pPr>
        <w:widowControl w:val="0"/>
        <w:spacing w:line="360" w:lineRule="auto"/>
        <w:rPr>
          <w:rFonts w:asciiTheme="majorHAnsi" w:hAnsiTheme="majorHAnsi"/>
        </w:rPr>
      </w:pPr>
      <w:proofErr w:type="spellStart"/>
      <w:r w:rsidRPr="006C46AB">
        <w:rPr>
          <w:rFonts w:asciiTheme="majorHAnsi" w:hAnsiTheme="majorHAnsi"/>
        </w:rPr>
        <w:t>Morphometry</w:t>
      </w:r>
      <w:proofErr w:type="spellEnd"/>
      <w:r w:rsidRPr="006C46AB">
        <w:rPr>
          <w:rFonts w:asciiTheme="majorHAnsi" w:hAnsiTheme="majorHAnsi"/>
        </w:rPr>
        <w:t xml:space="preserve"> was performed on </w:t>
      </w:r>
      <w:r w:rsidR="005E63BE" w:rsidRPr="006C46AB">
        <w:rPr>
          <w:rFonts w:asciiTheme="majorHAnsi" w:hAnsiTheme="majorHAnsi"/>
        </w:rPr>
        <w:t>haematoxylin and eosin (</w:t>
      </w:r>
      <w:r w:rsidRPr="006C46AB">
        <w:rPr>
          <w:rFonts w:asciiTheme="majorHAnsi" w:hAnsiTheme="majorHAnsi"/>
        </w:rPr>
        <w:t>H&amp;E</w:t>
      </w:r>
      <w:r w:rsidR="005E63BE" w:rsidRPr="006C46AB">
        <w:rPr>
          <w:rFonts w:asciiTheme="majorHAnsi" w:hAnsiTheme="majorHAnsi"/>
        </w:rPr>
        <w:t>)</w:t>
      </w:r>
      <w:r w:rsidRPr="006C46AB">
        <w:rPr>
          <w:rFonts w:asciiTheme="majorHAnsi" w:hAnsiTheme="majorHAnsi"/>
        </w:rPr>
        <w:t xml:space="preserve"> stained biopsy sections</w:t>
      </w:r>
      <w:r w:rsidR="000E5606" w:rsidRPr="006C46AB">
        <w:rPr>
          <w:rFonts w:asciiTheme="majorHAnsi" w:hAnsiTheme="majorHAnsi"/>
        </w:rPr>
        <w:t xml:space="preserve"> (Figure S2)</w:t>
      </w:r>
      <w:r w:rsidRPr="006C46AB">
        <w:rPr>
          <w:rFonts w:asciiTheme="majorHAnsi" w:hAnsiTheme="majorHAnsi"/>
        </w:rPr>
        <w:t xml:space="preserve">. </w:t>
      </w:r>
      <w:r w:rsidR="003459F4" w:rsidRPr="006C46AB">
        <w:rPr>
          <w:rFonts w:asciiTheme="majorHAnsi" w:hAnsiTheme="majorHAnsi"/>
        </w:rPr>
        <w:t>M</w:t>
      </w:r>
      <w:r w:rsidR="00110B08" w:rsidRPr="006C46AB">
        <w:rPr>
          <w:rFonts w:asciiTheme="majorHAnsi" w:hAnsiTheme="majorHAnsi"/>
        </w:rPr>
        <w:t>easurements were only made where crypts could be seen to have be</w:t>
      </w:r>
      <w:r w:rsidR="00A530B5" w:rsidRPr="006C46AB">
        <w:rPr>
          <w:rFonts w:asciiTheme="majorHAnsi" w:hAnsiTheme="majorHAnsi"/>
        </w:rPr>
        <w:t>e</w:t>
      </w:r>
      <w:r w:rsidR="00110B08" w:rsidRPr="006C46AB">
        <w:rPr>
          <w:rFonts w:asciiTheme="majorHAnsi" w:hAnsiTheme="majorHAnsi"/>
        </w:rPr>
        <w:t>n sectio</w:t>
      </w:r>
      <w:r w:rsidR="00032126" w:rsidRPr="006C46AB">
        <w:rPr>
          <w:rFonts w:asciiTheme="majorHAnsi" w:hAnsiTheme="majorHAnsi"/>
        </w:rPr>
        <w:t>ned along their entire length</w:t>
      </w:r>
      <w:r w:rsidR="005236EE" w:rsidRPr="006C46AB">
        <w:rPr>
          <w:rFonts w:asciiTheme="majorHAnsi" w:hAnsiTheme="majorHAnsi"/>
          <w:vertAlign w:val="superscript"/>
        </w:rPr>
        <w:t>2</w:t>
      </w:r>
      <w:r w:rsidR="00251E14" w:rsidRPr="006C46AB">
        <w:rPr>
          <w:rFonts w:asciiTheme="majorHAnsi" w:hAnsiTheme="majorHAnsi"/>
          <w:vertAlign w:val="superscript"/>
        </w:rPr>
        <w:t>0</w:t>
      </w:r>
      <w:r w:rsidR="00110B08" w:rsidRPr="006C46AB">
        <w:rPr>
          <w:rFonts w:asciiTheme="majorHAnsi" w:hAnsiTheme="majorHAnsi"/>
        </w:rPr>
        <w:t>.</w:t>
      </w:r>
      <w:r w:rsidR="00A530B5" w:rsidRPr="006C46AB">
        <w:rPr>
          <w:rFonts w:asciiTheme="majorHAnsi" w:hAnsiTheme="majorHAnsi"/>
        </w:rPr>
        <w:t xml:space="preserve"> </w:t>
      </w:r>
      <w:r w:rsidR="0049106B" w:rsidRPr="006C46AB">
        <w:rPr>
          <w:rFonts w:asciiTheme="majorHAnsi" w:hAnsiTheme="majorHAnsi"/>
        </w:rPr>
        <w:t xml:space="preserve">Villous height, crypt depth, epithelial surface area (represented by villous perimeter per unit length of mucosa) and villous unit volume (represented by villous area per unit length of mucosa) were measured </w:t>
      </w:r>
      <w:r w:rsidR="005E63BE" w:rsidRPr="006C46AB">
        <w:rPr>
          <w:rFonts w:asciiTheme="majorHAnsi" w:hAnsiTheme="majorHAnsi"/>
        </w:rPr>
        <w:t xml:space="preserve">by a single observer (JLA) with no access to other data, </w:t>
      </w:r>
      <w:r w:rsidR="0049106B" w:rsidRPr="006C46AB">
        <w:rPr>
          <w:rFonts w:asciiTheme="majorHAnsi" w:hAnsiTheme="majorHAnsi"/>
        </w:rPr>
        <w:t xml:space="preserve">using the </w:t>
      </w:r>
      <w:proofErr w:type="spellStart"/>
      <w:r w:rsidR="0049106B" w:rsidRPr="006C46AB">
        <w:rPr>
          <w:rFonts w:asciiTheme="majorHAnsi" w:hAnsiTheme="majorHAnsi"/>
        </w:rPr>
        <w:t>NanoZoomer</w:t>
      </w:r>
      <w:proofErr w:type="spellEnd"/>
      <w:r w:rsidR="0049106B" w:rsidRPr="006C46AB">
        <w:rPr>
          <w:rFonts w:asciiTheme="majorHAnsi" w:hAnsiTheme="majorHAnsi"/>
        </w:rPr>
        <w:t xml:space="preserve"> digital pathology system (Hamamatsu Photonics, Shizuoka, Japan).</w:t>
      </w:r>
      <w:r w:rsidR="0022222D" w:rsidRPr="006C46AB">
        <w:rPr>
          <w:rFonts w:asciiTheme="majorHAnsi" w:hAnsiTheme="majorHAnsi"/>
        </w:rPr>
        <w:t xml:space="preserve"> </w:t>
      </w:r>
      <w:r w:rsidR="00A530B5" w:rsidRPr="006C46AB">
        <w:rPr>
          <w:rFonts w:asciiTheme="majorHAnsi" w:hAnsiTheme="majorHAnsi"/>
        </w:rPr>
        <w:t xml:space="preserve">Epithelial </w:t>
      </w:r>
      <w:r w:rsidR="007E1BE1" w:rsidRPr="006C46AB">
        <w:rPr>
          <w:rFonts w:asciiTheme="majorHAnsi" w:hAnsiTheme="majorHAnsi"/>
        </w:rPr>
        <w:t>defects</w:t>
      </w:r>
      <w:r w:rsidR="00A530B5" w:rsidRPr="006C46AB">
        <w:rPr>
          <w:rFonts w:asciiTheme="majorHAnsi" w:hAnsiTheme="majorHAnsi"/>
        </w:rPr>
        <w:t xml:space="preserve"> were </w:t>
      </w:r>
      <w:r w:rsidR="008D27A4" w:rsidRPr="006C46AB">
        <w:rPr>
          <w:rFonts w:asciiTheme="majorHAnsi" w:hAnsiTheme="majorHAnsi"/>
        </w:rPr>
        <w:t xml:space="preserve">evaluated semi-quantitatively (none, </w:t>
      </w:r>
      <w:r w:rsidR="0017553E" w:rsidRPr="006C46AB">
        <w:rPr>
          <w:rFonts w:asciiTheme="majorHAnsi" w:hAnsiTheme="majorHAnsi"/>
        </w:rPr>
        <w:t>few</w:t>
      </w:r>
      <w:r w:rsidR="008D27A4" w:rsidRPr="006C46AB">
        <w:rPr>
          <w:rFonts w:asciiTheme="majorHAnsi" w:hAnsiTheme="majorHAnsi"/>
        </w:rPr>
        <w:t xml:space="preserve">, </w:t>
      </w:r>
      <w:r w:rsidR="0017553E" w:rsidRPr="006C46AB">
        <w:rPr>
          <w:rFonts w:asciiTheme="majorHAnsi" w:hAnsiTheme="majorHAnsi"/>
        </w:rPr>
        <w:t>many</w:t>
      </w:r>
      <w:r w:rsidR="008D27A4" w:rsidRPr="006C46AB">
        <w:rPr>
          <w:rFonts w:asciiTheme="majorHAnsi" w:hAnsiTheme="majorHAnsi"/>
        </w:rPr>
        <w:t xml:space="preserve">); in a subset of 14 (seven mild enteropathy, seven severe) </w:t>
      </w:r>
      <w:r w:rsidR="00310199" w:rsidRPr="006C46AB">
        <w:rPr>
          <w:rFonts w:asciiTheme="majorHAnsi" w:hAnsiTheme="majorHAnsi"/>
        </w:rPr>
        <w:t xml:space="preserve">biopsies </w:t>
      </w:r>
      <w:r w:rsidR="008D27A4" w:rsidRPr="006C46AB">
        <w:rPr>
          <w:rFonts w:asciiTheme="majorHAnsi" w:hAnsiTheme="majorHAnsi"/>
        </w:rPr>
        <w:t xml:space="preserve">the defects were </w:t>
      </w:r>
      <w:r w:rsidR="005E63BE" w:rsidRPr="006C46AB">
        <w:rPr>
          <w:rFonts w:asciiTheme="majorHAnsi" w:hAnsiTheme="majorHAnsi"/>
        </w:rPr>
        <w:t xml:space="preserve">fully </w:t>
      </w:r>
      <w:r w:rsidR="003161BA" w:rsidRPr="006C46AB">
        <w:rPr>
          <w:rFonts w:asciiTheme="majorHAnsi" w:hAnsiTheme="majorHAnsi"/>
        </w:rPr>
        <w:t xml:space="preserve">quantified </w:t>
      </w:r>
      <w:r w:rsidR="008D27A4" w:rsidRPr="006C46AB">
        <w:rPr>
          <w:rFonts w:asciiTheme="majorHAnsi" w:hAnsiTheme="majorHAnsi"/>
        </w:rPr>
        <w:t>to confirm the validity of the ordinal scoring (</w:t>
      </w:r>
      <w:r w:rsidR="008D27A4" w:rsidRPr="006C46AB">
        <w:rPr>
          <w:rFonts w:asciiTheme="majorHAnsi" w:hAnsiTheme="majorHAnsi"/>
          <w:i/>
        </w:rPr>
        <w:t>P</w:t>
      </w:r>
      <w:r w:rsidR="008D27A4" w:rsidRPr="006C46AB">
        <w:rPr>
          <w:rFonts w:asciiTheme="majorHAnsi" w:hAnsiTheme="majorHAnsi"/>
        </w:rPr>
        <w:t>&lt;0.05)</w:t>
      </w:r>
      <w:r w:rsidR="00A530B5" w:rsidRPr="006C46AB">
        <w:rPr>
          <w:rFonts w:asciiTheme="majorHAnsi" w:hAnsiTheme="majorHAnsi"/>
        </w:rPr>
        <w:t>.</w:t>
      </w:r>
      <w:r w:rsidR="003961A5" w:rsidRPr="006C46AB">
        <w:rPr>
          <w:rFonts w:asciiTheme="majorHAnsi" w:hAnsiTheme="majorHAnsi"/>
        </w:rPr>
        <w:t xml:space="preserve"> </w:t>
      </w:r>
    </w:p>
    <w:p w14:paraId="099D5EEF" w14:textId="77777777" w:rsidR="009235E9" w:rsidRPr="006C46AB" w:rsidRDefault="009235E9" w:rsidP="0025423E">
      <w:pPr>
        <w:widowControl w:val="0"/>
        <w:spacing w:line="360" w:lineRule="auto"/>
        <w:rPr>
          <w:rFonts w:asciiTheme="majorHAnsi" w:hAnsiTheme="majorHAnsi"/>
        </w:rPr>
      </w:pPr>
    </w:p>
    <w:p w14:paraId="4646319B" w14:textId="58D67499" w:rsidR="00C27C65" w:rsidRPr="006C46AB" w:rsidRDefault="003459F4" w:rsidP="0025423E">
      <w:pPr>
        <w:widowControl w:val="0"/>
        <w:spacing w:line="360" w:lineRule="auto"/>
        <w:rPr>
          <w:rFonts w:asciiTheme="majorHAnsi" w:hAnsiTheme="majorHAnsi"/>
          <w:i/>
        </w:rPr>
      </w:pPr>
      <w:r w:rsidRPr="006C46AB">
        <w:rPr>
          <w:rFonts w:asciiTheme="majorHAnsi" w:hAnsiTheme="majorHAnsi"/>
          <w:i/>
        </w:rPr>
        <w:t>Claudin 4</w:t>
      </w:r>
      <w:r w:rsidR="00C27C65" w:rsidRPr="006C46AB">
        <w:rPr>
          <w:rFonts w:asciiTheme="majorHAnsi" w:hAnsiTheme="majorHAnsi"/>
          <w:i/>
        </w:rPr>
        <w:t xml:space="preserve"> imaging</w:t>
      </w:r>
    </w:p>
    <w:p w14:paraId="120FEAFF" w14:textId="4989EF82" w:rsidR="000E18EA" w:rsidRPr="006C46AB" w:rsidRDefault="00C27C65" w:rsidP="0025423E">
      <w:pPr>
        <w:widowControl w:val="0"/>
        <w:spacing w:line="360" w:lineRule="auto"/>
        <w:rPr>
          <w:rFonts w:asciiTheme="majorHAnsi" w:hAnsiTheme="majorHAnsi"/>
        </w:rPr>
      </w:pPr>
      <w:r w:rsidRPr="006C46AB">
        <w:rPr>
          <w:rFonts w:asciiTheme="majorHAnsi" w:hAnsiTheme="majorHAnsi"/>
        </w:rPr>
        <w:t xml:space="preserve">Claudin-4 immunostaining was performed </w:t>
      </w:r>
      <w:r w:rsidR="003459F4" w:rsidRPr="006C46AB">
        <w:rPr>
          <w:rFonts w:asciiTheme="majorHAnsi" w:hAnsiTheme="majorHAnsi"/>
        </w:rPr>
        <w:t xml:space="preserve">using standard </w:t>
      </w:r>
      <w:r w:rsidR="002F3456" w:rsidRPr="006C46AB">
        <w:rPr>
          <w:rFonts w:asciiTheme="majorHAnsi" w:hAnsiTheme="majorHAnsi"/>
        </w:rPr>
        <w:t>techniques</w:t>
      </w:r>
      <w:r w:rsidR="000F68A1" w:rsidRPr="006C46AB">
        <w:rPr>
          <w:rFonts w:asciiTheme="majorHAnsi" w:hAnsiTheme="majorHAnsi"/>
        </w:rPr>
        <w:t xml:space="preserve"> (for details, see S</w:t>
      </w:r>
      <w:r w:rsidR="003459F4" w:rsidRPr="006C46AB">
        <w:rPr>
          <w:rFonts w:asciiTheme="majorHAnsi" w:hAnsiTheme="majorHAnsi"/>
        </w:rPr>
        <w:t>upplementary material</w:t>
      </w:r>
      <w:r w:rsidR="000F68A1" w:rsidRPr="006C46AB">
        <w:rPr>
          <w:rFonts w:asciiTheme="majorHAnsi" w:hAnsiTheme="majorHAnsi"/>
        </w:rPr>
        <w:t>)</w:t>
      </w:r>
      <w:r w:rsidR="003459F4" w:rsidRPr="006C46AB">
        <w:rPr>
          <w:rFonts w:asciiTheme="majorHAnsi" w:hAnsiTheme="majorHAnsi"/>
        </w:rPr>
        <w:t xml:space="preserve">. </w:t>
      </w:r>
    </w:p>
    <w:p w14:paraId="0DE9CF2B" w14:textId="07B701B2" w:rsidR="00C27C65" w:rsidRPr="006C46AB" w:rsidRDefault="000E18EA" w:rsidP="0025423E">
      <w:pPr>
        <w:widowControl w:val="0"/>
        <w:spacing w:line="360" w:lineRule="auto"/>
        <w:rPr>
          <w:rFonts w:asciiTheme="majorHAnsi" w:hAnsiTheme="majorHAnsi"/>
        </w:rPr>
      </w:pPr>
      <w:r w:rsidRPr="006C46AB">
        <w:rPr>
          <w:rFonts w:asciiTheme="majorHAnsi" w:hAnsiTheme="majorHAnsi"/>
        </w:rPr>
        <w:t xml:space="preserve"> </w:t>
      </w:r>
    </w:p>
    <w:p w14:paraId="0A61C713" w14:textId="4CB6026B" w:rsidR="00933584" w:rsidRPr="006C46AB" w:rsidRDefault="00933584" w:rsidP="0025423E">
      <w:pPr>
        <w:widowControl w:val="0"/>
        <w:spacing w:line="360" w:lineRule="auto"/>
        <w:rPr>
          <w:rFonts w:asciiTheme="majorHAnsi" w:hAnsiTheme="majorHAnsi"/>
          <w:i/>
        </w:rPr>
      </w:pPr>
      <w:r w:rsidRPr="006C46AB">
        <w:rPr>
          <w:rFonts w:asciiTheme="majorHAnsi" w:hAnsiTheme="majorHAnsi"/>
          <w:i/>
        </w:rPr>
        <w:t>Zinc uptake test</w:t>
      </w:r>
    </w:p>
    <w:p w14:paraId="641EE9A9" w14:textId="3B5DBA2F" w:rsidR="00933584" w:rsidRPr="006C46AB" w:rsidRDefault="00933584" w:rsidP="0025423E">
      <w:pPr>
        <w:widowControl w:val="0"/>
        <w:spacing w:line="360" w:lineRule="auto"/>
        <w:rPr>
          <w:rFonts w:asciiTheme="majorHAnsi" w:hAnsiTheme="majorHAnsi"/>
        </w:rPr>
      </w:pPr>
      <w:r w:rsidRPr="006C46AB">
        <w:rPr>
          <w:rFonts w:asciiTheme="majorHAnsi" w:hAnsiTheme="majorHAnsi"/>
        </w:rPr>
        <w:t xml:space="preserve">Plasma samples before and after 25mg oral zinc (as zinc sulphate </w:t>
      </w:r>
      <w:proofErr w:type="spellStart"/>
      <w:r w:rsidRPr="006C46AB">
        <w:rPr>
          <w:rFonts w:asciiTheme="majorHAnsi" w:hAnsiTheme="majorHAnsi"/>
        </w:rPr>
        <w:t>heptahydrate</w:t>
      </w:r>
      <w:proofErr w:type="spellEnd"/>
      <w:r w:rsidRPr="006C46AB">
        <w:rPr>
          <w:rFonts w:asciiTheme="majorHAnsi" w:hAnsiTheme="majorHAnsi"/>
        </w:rPr>
        <w:t>) were obt</w:t>
      </w:r>
      <w:r w:rsidR="00723D9B" w:rsidRPr="006C46AB">
        <w:rPr>
          <w:rFonts w:asciiTheme="majorHAnsi" w:hAnsiTheme="majorHAnsi"/>
        </w:rPr>
        <w:t>ained from blood collected into</w:t>
      </w:r>
      <w:r w:rsidRPr="006C46AB">
        <w:rPr>
          <w:rFonts w:asciiTheme="majorHAnsi" w:hAnsiTheme="majorHAnsi"/>
        </w:rPr>
        <w:t xml:space="preserve"> trace element-free lithium heparin tubes. Samples were analysed in a</w:t>
      </w:r>
      <w:r w:rsidR="004334E2" w:rsidRPr="006C46AB">
        <w:rPr>
          <w:rFonts w:asciiTheme="majorHAnsi" w:hAnsiTheme="majorHAnsi"/>
        </w:rPr>
        <w:t>n</w:t>
      </w:r>
      <w:r w:rsidRPr="006C46AB">
        <w:rPr>
          <w:rFonts w:asciiTheme="majorHAnsi" w:hAnsiTheme="majorHAnsi"/>
        </w:rPr>
        <w:t xml:space="preserve"> Optim</w:t>
      </w:r>
      <w:r w:rsidR="001E6337" w:rsidRPr="006C46AB">
        <w:rPr>
          <w:rFonts w:asciiTheme="majorHAnsi" w:hAnsiTheme="majorHAnsi"/>
        </w:rPr>
        <w:t xml:space="preserve">a ICP Plasma Spectrometer </w:t>
      </w:r>
      <w:r w:rsidR="004334E2" w:rsidRPr="006C46AB">
        <w:rPr>
          <w:rFonts w:asciiTheme="majorHAnsi" w:hAnsiTheme="majorHAnsi"/>
        </w:rPr>
        <w:t xml:space="preserve">(Perkin-Elmer, </w:t>
      </w:r>
      <w:proofErr w:type="spellStart"/>
      <w:r w:rsidR="00DA6E4B" w:rsidRPr="006C46AB">
        <w:rPr>
          <w:rFonts w:asciiTheme="majorHAnsi" w:hAnsiTheme="majorHAnsi"/>
        </w:rPr>
        <w:t>Midrand</w:t>
      </w:r>
      <w:proofErr w:type="spellEnd"/>
      <w:r w:rsidR="00A673C6" w:rsidRPr="006C46AB">
        <w:rPr>
          <w:rFonts w:asciiTheme="majorHAnsi" w:hAnsiTheme="majorHAnsi"/>
        </w:rPr>
        <w:t>,</w:t>
      </w:r>
      <w:r w:rsidR="00DA6E4B" w:rsidRPr="006C46AB">
        <w:rPr>
          <w:rFonts w:asciiTheme="majorHAnsi" w:hAnsiTheme="majorHAnsi"/>
        </w:rPr>
        <w:t xml:space="preserve"> South Africa</w:t>
      </w:r>
      <w:r w:rsidR="004334E2" w:rsidRPr="006C46AB">
        <w:rPr>
          <w:rFonts w:asciiTheme="majorHAnsi" w:hAnsiTheme="majorHAnsi"/>
        </w:rPr>
        <w:t xml:space="preserve">) </w:t>
      </w:r>
      <w:r w:rsidR="001E6337" w:rsidRPr="006C46AB">
        <w:rPr>
          <w:rFonts w:asciiTheme="majorHAnsi" w:hAnsiTheme="majorHAnsi"/>
        </w:rPr>
        <w:t>at 206</w:t>
      </w:r>
      <w:r w:rsidR="00E80EB0" w:rsidRPr="006C46AB">
        <w:rPr>
          <w:rFonts w:asciiTheme="majorHAnsi" w:hAnsiTheme="majorHAnsi"/>
        </w:rPr>
        <w:t>.2</w:t>
      </w:r>
      <w:r w:rsidR="00CB76F4" w:rsidRPr="006C46AB">
        <w:rPr>
          <w:rFonts w:asciiTheme="majorHAnsi" w:hAnsiTheme="majorHAnsi"/>
        </w:rPr>
        <w:t xml:space="preserve"> </w:t>
      </w:r>
      <w:r w:rsidRPr="006C46AB">
        <w:rPr>
          <w:rFonts w:asciiTheme="majorHAnsi" w:hAnsiTheme="majorHAnsi"/>
        </w:rPr>
        <w:t xml:space="preserve">nm. Reference values for the zinc ‘tolerance’ </w:t>
      </w:r>
      <w:r w:rsidR="00E87A37" w:rsidRPr="006C46AB">
        <w:rPr>
          <w:rFonts w:asciiTheme="majorHAnsi" w:hAnsiTheme="majorHAnsi"/>
        </w:rPr>
        <w:t xml:space="preserve">(uptake) </w:t>
      </w:r>
      <w:r w:rsidRPr="006C46AB">
        <w:rPr>
          <w:rFonts w:asciiTheme="majorHAnsi" w:hAnsiTheme="majorHAnsi"/>
        </w:rPr>
        <w:t>test were o</w:t>
      </w:r>
      <w:r w:rsidR="00032126" w:rsidRPr="006C46AB">
        <w:rPr>
          <w:rFonts w:asciiTheme="majorHAnsi" w:hAnsiTheme="majorHAnsi"/>
        </w:rPr>
        <w:t xml:space="preserve">btained from </w:t>
      </w:r>
      <w:proofErr w:type="spellStart"/>
      <w:r w:rsidR="00032126" w:rsidRPr="006C46AB">
        <w:rPr>
          <w:rFonts w:asciiTheme="majorHAnsi" w:hAnsiTheme="majorHAnsi"/>
        </w:rPr>
        <w:t>Valberg</w:t>
      </w:r>
      <w:proofErr w:type="spellEnd"/>
      <w:r w:rsidR="00032126" w:rsidRPr="006C46AB">
        <w:rPr>
          <w:rFonts w:asciiTheme="majorHAnsi" w:hAnsiTheme="majorHAnsi"/>
        </w:rPr>
        <w:t xml:space="preserve"> et al</w:t>
      </w:r>
      <w:r w:rsidR="00382F97" w:rsidRPr="006C46AB">
        <w:rPr>
          <w:rFonts w:asciiTheme="majorHAnsi" w:hAnsiTheme="majorHAnsi"/>
          <w:vertAlign w:val="superscript"/>
        </w:rPr>
        <w:t>2</w:t>
      </w:r>
      <w:r w:rsidR="00251E14" w:rsidRPr="006C46AB">
        <w:rPr>
          <w:rFonts w:asciiTheme="majorHAnsi" w:hAnsiTheme="majorHAnsi"/>
          <w:vertAlign w:val="superscript"/>
        </w:rPr>
        <w:t>8</w:t>
      </w:r>
      <w:r w:rsidRPr="006C46AB">
        <w:rPr>
          <w:rFonts w:asciiTheme="majorHAnsi" w:hAnsiTheme="majorHAnsi"/>
        </w:rPr>
        <w:t xml:space="preserve"> which indicates a lower 95% confidence limit of 9.5 </w:t>
      </w:r>
      <w:r w:rsidRPr="006C46AB">
        <w:rPr>
          <w:rFonts w:ascii="Symbol" w:hAnsi="Symbol"/>
        </w:rPr>
        <w:t></w:t>
      </w:r>
      <w:proofErr w:type="spellStart"/>
      <w:r w:rsidRPr="006C46AB">
        <w:rPr>
          <w:rFonts w:asciiTheme="majorHAnsi" w:hAnsiTheme="majorHAnsi"/>
        </w:rPr>
        <w:t>mol</w:t>
      </w:r>
      <w:proofErr w:type="spellEnd"/>
      <w:r w:rsidRPr="006C46AB">
        <w:rPr>
          <w:rFonts w:asciiTheme="majorHAnsi" w:hAnsiTheme="majorHAnsi"/>
        </w:rPr>
        <w:t xml:space="preserve">/l for the increment in plasma zinc at 3 hours in healthy Canadian volunteers. </w:t>
      </w:r>
    </w:p>
    <w:p w14:paraId="09AB54F1" w14:textId="77777777" w:rsidR="00933584" w:rsidRPr="006C46AB" w:rsidRDefault="00933584" w:rsidP="0025423E">
      <w:pPr>
        <w:widowControl w:val="0"/>
        <w:spacing w:line="360" w:lineRule="auto"/>
        <w:rPr>
          <w:rFonts w:asciiTheme="majorHAnsi" w:hAnsiTheme="majorHAnsi"/>
        </w:rPr>
      </w:pPr>
    </w:p>
    <w:p w14:paraId="7ADB9784" w14:textId="77777777" w:rsidR="003161BA" w:rsidRPr="006C46AB" w:rsidRDefault="003161BA" w:rsidP="003161BA">
      <w:pPr>
        <w:widowControl w:val="0"/>
        <w:spacing w:line="360" w:lineRule="auto"/>
        <w:rPr>
          <w:rFonts w:asciiTheme="majorHAnsi" w:hAnsiTheme="majorHAnsi"/>
          <w:i/>
        </w:rPr>
      </w:pPr>
      <w:r w:rsidRPr="006C46AB">
        <w:rPr>
          <w:rFonts w:asciiTheme="majorHAnsi" w:hAnsiTheme="majorHAnsi"/>
          <w:i/>
        </w:rPr>
        <w:t>Biomarkers of translocation, epithelial integrity and inflammation</w:t>
      </w:r>
    </w:p>
    <w:p w14:paraId="5550A541" w14:textId="77777777" w:rsidR="003161BA" w:rsidRPr="006C46AB" w:rsidRDefault="003161BA" w:rsidP="003161BA">
      <w:pPr>
        <w:widowControl w:val="0"/>
        <w:spacing w:line="360" w:lineRule="auto"/>
        <w:rPr>
          <w:rFonts w:asciiTheme="majorHAnsi" w:hAnsiTheme="majorHAnsi"/>
        </w:rPr>
      </w:pPr>
      <w:r w:rsidRPr="006C46AB">
        <w:rPr>
          <w:rFonts w:asciiTheme="majorHAnsi" w:hAnsiTheme="majorHAnsi"/>
        </w:rPr>
        <w:t xml:space="preserve">Biomarkers of microbial translocation and inflammation (LPS, LPS binding protein, CRP, sCD14, CD163, GLP-2 and </w:t>
      </w:r>
      <w:r w:rsidRPr="006C46AB">
        <w:rPr>
          <w:rFonts w:ascii="Symbol" w:hAnsi="Symbol"/>
        </w:rPr>
        <w:t></w:t>
      </w:r>
      <w:r w:rsidRPr="006C46AB">
        <w:rPr>
          <w:rFonts w:asciiTheme="majorHAnsi" w:hAnsiTheme="majorHAnsi"/>
        </w:rPr>
        <w:t xml:space="preserve">1-antitrypsin) were compared with confocal images and zinc uptake in order to explore the barrier defects further and to identify potential biomarkers for use in further research. All samples for analysis were collected immediately prior to endoscopy, in the fasted state. </w:t>
      </w:r>
    </w:p>
    <w:p w14:paraId="1BFAAD6B" w14:textId="77777777" w:rsidR="003161BA" w:rsidRPr="006C46AB" w:rsidRDefault="003161BA" w:rsidP="0025423E">
      <w:pPr>
        <w:widowControl w:val="0"/>
        <w:spacing w:line="360" w:lineRule="auto"/>
        <w:rPr>
          <w:rFonts w:asciiTheme="majorHAnsi" w:hAnsiTheme="majorHAnsi"/>
        </w:rPr>
      </w:pPr>
    </w:p>
    <w:p w14:paraId="12C8C0F7" w14:textId="12F7BA91" w:rsidR="000E18EA" w:rsidRPr="006C46AB" w:rsidRDefault="000E18EA" w:rsidP="0025423E">
      <w:pPr>
        <w:widowControl w:val="0"/>
        <w:spacing w:line="360" w:lineRule="auto"/>
        <w:rPr>
          <w:rFonts w:asciiTheme="majorHAnsi" w:hAnsiTheme="majorHAnsi"/>
          <w:i/>
        </w:rPr>
      </w:pPr>
      <w:proofErr w:type="spellStart"/>
      <w:r w:rsidRPr="006C46AB">
        <w:rPr>
          <w:rFonts w:asciiTheme="majorHAnsi" w:hAnsiTheme="majorHAnsi"/>
          <w:i/>
        </w:rPr>
        <w:t>Transcriptome</w:t>
      </w:r>
      <w:proofErr w:type="spellEnd"/>
      <w:r w:rsidRPr="006C46AB">
        <w:rPr>
          <w:rFonts w:asciiTheme="majorHAnsi" w:hAnsiTheme="majorHAnsi"/>
          <w:i/>
        </w:rPr>
        <w:t xml:space="preserve"> analysis</w:t>
      </w:r>
    </w:p>
    <w:p w14:paraId="3A9F7928" w14:textId="273FD96F" w:rsidR="000E18EA" w:rsidRPr="006C46AB" w:rsidRDefault="000E18EA" w:rsidP="0025423E">
      <w:pPr>
        <w:widowControl w:val="0"/>
        <w:spacing w:line="360" w:lineRule="auto"/>
        <w:rPr>
          <w:rFonts w:asciiTheme="majorHAnsi" w:hAnsiTheme="majorHAnsi"/>
        </w:rPr>
      </w:pPr>
      <w:r w:rsidRPr="006C46AB">
        <w:rPr>
          <w:rFonts w:asciiTheme="majorHAnsi" w:hAnsiTheme="majorHAnsi"/>
        </w:rPr>
        <w:t xml:space="preserve">Biopsies </w:t>
      </w:r>
      <w:r w:rsidR="0090369C" w:rsidRPr="006C46AB">
        <w:rPr>
          <w:rFonts w:asciiTheme="majorHAnsi" w:hAnsiTheme="majorHAnsi"/>
        </w:rPr>
        <w:t>were chosen to represent the extreme ends of the spectrum of enteropathy</w:t>
      </w:r>
      <w:r w:rsidR="000F68A1" w:rsidRPr="006C46AB">
        <w:rPr>
          <w:rFonts w:asciiTheme="majorHAnsi" w:hAnsiTheme="majorHAnsi"/>
        </w:rPr>
        <w:t xml:space="preserve"> as assessed by CLE</w:t>
      </w:r>
      <w:r w:rsidR="0090369C" w:rsidRPr="006C46AB">
        <w:rPr>
          <w:rFonts w:asciiTheme="majorHAnsi" w:hAnsiTheme="majorHAnsi"/>
        </w:rPr>
        <w:t xml:space="preserve">, including </w:t>
      </w:r>
      <w:r w:rsidR="00BF1182" w:rsidRPr="006C46AB">
        <w:rPr>
          <w:rFonts w:asciiTheme="majorHAnsi" w:hAnsiTheme="majorHAnsi"/>
        </w:rPr>
        <w:t>four with no plumes and four wit</w:t>
      </w:r>
      <w:r w:rsidR="0090369C" w:rsidRPr="006C46AB">
        <w:rPr>
          <w:rFonts w:asciiTheme="majorHAnsi" w:hAnsiTheme="majorHAnsi"/>
        </w:rPr>
        <w:t xml:space="preserve">h plumes seen in &gt;35% of images. </w:t>
      </w:r>
      <w:r w:rsidR="006E70E1" w:rsidRPr="006C46AB">
        <w:rPr>
          <w:rFonts w:asciiTheme="majorHAnsi" w:hAnsiTheme="majorHAnsi"/>
        </w:rPr>
        <w:t>For further details of sequencing and RKPM/NOIseq</w:t>
      </w:r>
      <w:r w:rsidR="006E70E1" w:rsidRPr="006C46AB">
        <w:rPr>
          <w:rFonts w:asciiTheme="majorHAnsi" w:hAnsiTheme="majorHAnsi"/>
          <w:vertAlign w:val="superscript"/>
        </w:rPr>
        <w:t>29</w:t>
      </w:r>
      <w:r w:rsidR="006E70E1" w:rsidRPr="006C46AB">
        <w:rPr>
          <w:rFonts w:asciiTheme="majorHAnsi" w:hAnsiTheme="majorHAnsi"/>
        </w:rPr>
        <w:t xml:space="preserve"> analysis see supplementary material. </w:t>
      </w:r>
    </w:p>
    <w:p w14:paraId="44BD07A5" w14:textId="77777777" w:rsidR="000E18EA" w:rsidRPr="006C46AB" w:rsidRDefault="000E18EA" w:rsidP="0025423E">
      <w:pPr>
        <w:widowControl w:val="0"/>
        <w:spacing w:line="360" w:lineRule="auto"/>
        <w:rPr>
          <w:rFonts w:asciiTheme="majorHAnsi" w:hAnsiTheme="majorHAnsi"/>
        </w:rPr>
      </w:pPr>
    </w:p>
    <w:p w14:paraId="46EF3EA0" w14:textId="77777777" w:rsidR="009235E9" w:rsidRPr="006C46AB" w:rsidRDefault="009235E9" w:rsidP="0025423E">
      <w:pPr>
        <w:widowControl w:val="0"/>
        <w:spacing w:line="360" w:lineRule="auto"/>
        <w:rPr>
          <w:rFonts w:asciiTheme="majorHAnsi" w:hAnsiTheme="majorHAnsi"/>
          <w:i/>
        </w:rPr>
      </w:pPr>
      <w:r w:rsidRPr="006C46AB">
        <w:rPr>
          <w:rFonts w:asciiTheme="majorHAnsi" w:hAnsiTheme="majorHAnsi"/>
          <w:i/>
        </w:rPr>
        <w:t>Data analysis</w:t>
      </w:r>
    </w:p>
    <w:p w14:paraId="40594376" w14:textId="0F3EFFC7" w:rsidR="003123FC" w:rsidRPr="006C46AB" w:rsidRDefault="009235E9" w:rsidP="0025423E">
      <w:pPr>
        <w:widowControl w:val="0"/>
        <w:spacing w:line="360" w:lineRule="auto"/>
        <w:rPr>
          <w:rFonts w:asciiTheme="majorHAnsi" w:hAnsiTheme="majorHAnsi"/>
        </w:rPr>
      </w:pPr>
      <w:r w:rsidRPr="006C46AB">
        <w:rPr>
          <w:rFonts w:asciiTheme="majorHAnsi" w:hAnsiTheme="majorHAnsi"/>
        </w:rPr>
        <w:t xml:space="preserve">Data analysis was carried out using </w:t>
      </w:r>
      <w:proofErr w:type="spellStart"/>
      <w:r w:rsidRPr="006C46AB">
        <w:rPr>
          <w:rFonts w:asciiTheme="majorHAnsi" w:hAnsiTheme="majorHAnsi"/>
        </w:rPr>
        <w:t>Stata</w:t>
      </w:r>
      <w:proofErr w:type="spellEnd"/>
      <w:r w:rsidRPr="006C46AB">
        <w:rPr>
          <w:rFonts w:asciiTheme="majorHAnsi" w:hAnsiTheme="majorHAnsi"/>
        </w:rPr>
        <w:t xml:space="preserve"> 13 (</w:t>
      </w:r>
      <w:proofErr w:type="spellStart"/>
      <w:r w:rsidRPr="006C46AB">
        <w:rPr>
          <w:rFonts w:asciiTheme="majorHAnsi" w:hAnsiTheme="majorHAnsi"/>
        </w:rPr>
        <w:t>Stata</w:t>
      </w:r>
      <w:proofErr w:type="spellEnd"/>
      <w:r w:rsidRPr="006C46AB">
        <w:rPr>
          <w:rFonts w:asciiTheme="majorHAnsi" w:hAnsiTheme="majorHAnsi"/>
        </w:rPr>
        <w:t xml:space="preserve"> Corp, Colleg</w:t>
      </w:r>
      <w:r w:rsidR="00BC7949" w:rsidRPr="006C46AB">
        <w:rPr>
          <w:rFonts w:asciiTheme="majorHAnsi" w:hAnsiTheme="majorHAnsi"/>
        </w:rPr>
        <w:t>e Station, TX). All the CLE and translocation</w:t>
      </w:r>
      <w:r w:rsidRPr="006C46AB">
        <w:rPr>
          <w:rFonts w:asciiTheme="majorHAnsi" w:hAnsiTheme="majorHAnsi"/>
        </w:rPr>
        <w:t xml:space="preserve"> variables were treated as continuous variables and determined to be non-normally distributed using the Shapiro-</w:t>
      </w:r>
      <w:proofErr w:type="spellStart"/>
      <w:r w:rsidRPr="006C46AB">
        <w:rPr>
          <w:rFonts w:asciiTheme="majorHAnsi" w:hAnsiTheme="majorHAnsi"/>
        </w:rPr>
        <w:t>Wilk</w:t>
      </w:r>
      <w:proofErr w:type="spellEnd"/>
      <w:r w:rsidRPr="006C46AB">
        <w:rPr>
          <w:rFonts w:asciiTheme="majorHAnsi" w:hAnsiTheme="majorHAnsi"/>
        </w:rPr>
        <w:t xml:space="preserve"> test (</w:t>
      </w:r>
      <w:r w:rsidRPr="006C46AB">
        <w:rPr>
          <w:rFonts w:asciiTheme="majorHAnsi" w:hAnsiTheme="majorHAnsi"/>
          <w:i/>
        </w:rPr>
        <w:t>P</w:t>
      </w:r>
      <w:r w:rsidRPr="006C46AB">
        <w:rPr>
          <w:rFonts w:asciiTheme="majorHAnsi" w:hAnsiTheme="majorHAnsi"/>
        </w:rPr>
        <w:t xml:space="preserve">&lt;0.0001 in all cases). Spearman’s rank correlation coefficient and the </w:t>
      </w:r>
      <w:proofErr w:type="spellStart"/>
      <w:r w:rsidRPr="006C46AB">
        <w:rPr>
          <w:rFonts w:asciiTheme="majorHAnsi" w:hAnsiTheme="majorHAnsi"/>
        </w:rPr>
        <w:t>Kruskal</w:t>
      </w:r>
      <w:proofErr w:type="spellEnd"/>
      <w:r w:rsidRPr="006C46AB">
        <w:rPr>
          <w:rFonts w:asciiTheme="majorHAnsi" w:hAnsiTheme="majorHAnsi"/>
        </w:rPr>
        <w:t>-Wallis test were used for hypothesis testing</w:t>
      </w:r>
      <w:r w:rsidR="00BC7949" w:rsidRPr="006C46AB">
        <w:rPr>
          <w:rFonts w:asciiTheme="majorHAnsi" w:hAnsiTheme="majorHAnsi"/>
        </w:rPr>
        <w:t>, and correlation analysis used log-transformed LPS concentrations</w:t>
      </w:r>
      <w:r w:rsidRPr="006C46AB">
        <w:rPr>
          <w:rFonts w:asciiTheme="majorHAnsi" w:hAnsiTheme="majorHAnsi"/>
        </w:rPr>
        <w:t>. Linear regression was used on continuous variables and unconditional logistic regression was used on binary variables to search for correlates of barrier failure</w:t>
      </w:r>
      <w:r w:rsidR="00110B08" w:rsidRPr="006C46AB">
        <w:rPr>
          <w:rFonts w:asciiTheme="majorHAnsi" w:hAnsiTheme="majorHAnsi"/>
        </w:rPr>
        <w:t>.</w:t>
      </w:r>
      <w:r w:rsidR="00393013" w:rsidRPr="006C46AB">
        <w:rPr>
          <w:rFonts w:asciiTheme="majorHAnsi" w:hAnsiTheme="majorHAnsi"/>
        </w:rPr>
        <w:t xml:space="preserve"> Multiple linear regression </w:t>
      </w:r>
      <w:r w:rsidR="000F68A1" w:rsidRPr="006C46AB">
        <w:rPr>
          <w:rFonts w:asciiTheme="majorHAnsi" w:hAnsiTheme="majorHAnsi"/>
        </w:rPr>
        <w:t xml:space="preserve">modelling of LPS and plasma zinc increment (in separate models) </w:t>
      </w:r>
      <w:r w:rsidR="00393013" w:rsidRPr="006C46AB">
        <w:rPr>
          <w:rFonts w:asciiTheme="majorHAnsi" w:hAnsiTheme="majorHAnsi"/>
        </w:rPr>
        <w:t xml:space="preserve">was carried out </w:t>
      </w:r>
      <w:r w:rsidR="00BC7949" w:rsidRPr="006C46AB">
        <w:rPr>
          <w:rFonts w:asciiTheme="majorHAnsi" w:hAnsiTheme="majorHAnsi"/>
        </w:rPr>
        <w:t xml:space="preserve">using an automatic </w:t>
      </w:r>
      <w:r w:rsidR="00393013" w:rsidRPr="006C46AB">
        <w:rPr>
          <w:rFonts w:asciiTheme="majorHAnsi" w:hAnsiTheme="majorHAnsi"/>
        </w:rPr>
        <w:t xml:space="preserve">backwards stepwise </w:t>
      </w:r>
      <w:r w:rsidR="00BC7949" w:rsidRPr="006C46AB">
        <w:rPr>
          <w:rFonts w:asciiTheme="majorHAnsi" w:hAnsiTheme="majorHAnsi"/>
        </w:rPr>
        <w:t>command</w:t>
      </w:r>
      <w:r w:rsidR="00393013" w:rsidRPr="006C46AB">
        <w:rPr>
          <w:rFonts w:asciiTheme="majorHAnsi" w:hAnsiTheme="majorHAnsi"/>
        </w:rPr>
        <w:t xml:space="preserve"> in </w:t>
      </w:r>
      <w:proofErr w:type="spellStart"/>
      <w:r w:rsidR="00393013" w:rsidRPr="006C46AB">
        <w:rPr>
          <w:rFonts w:asciiTheme="majorHAnsi" w:hAnsiTheme="majorHAnsi"/>
        </w:rPr>
        <w:t>Stata</w:t>
      </w:r>
      <w:proofErr w:type="spellEnd"/>
      <w:r w:rsidR="00393013" w:rsidRPr="006C46AB">
        <w:rPr>
          <w:rFonts w:asciiTheme="majorHAnsi" w:hAnsiTheme="majorHAnsi"/>
        </w:rPr>
        <w:t xml:space="preserve"> 13</w:t>
      </w:r>
      <w:r w:rsidR="000F68A1" w:rsidRPr="006C46AB">
        <w:rPr>
          <w:rFonts w:asciiTheme="majorHAnsi" w:hAnsiTheme="majorHAnsi"/>
        </w:rPr>
        <w:t xml:space="preserve"> with all CLE variables, GLP-2, Lactulose recovery alone and as a ratio with </w:t>
      </w:r>
      <w:proofErr w:type="spellStart"/>
      <w:r w:rsidR="000F68A1" w:rsidRPr="006C46AB">
        <w:rPr>
          <w:rFonts w:asciiTheme="majorHAnsi" w:hAnsiTheme="majorHAnsi"/>
        </w:rPr>
        <w:t>rhamnose</w:t>
      </w:r>
      <w:proofErr w:type="spellEnd"/>
      <w:r w:rsidR="000F68A1" w:rsidRPr="006C46AB">
        <w:rPr>
          <w:rFonts w:asciiTheme="majorHAnsi" w:hAnsiTheme="majorHAnsi"/>
        </w:rPr>
        <w:t>, FABP, gastric pH, HIV status, and all the variables in Table 1</w:t>
      </w:r>
      <w:r w:rsidR="00393013" w:rsidRPr="006C46AB">
        <w:rPr>
          <w:rFonts w:asciiTheme="majorHAnsi" w:hAnsiTheme="majorHAnsi"/>
        </w:rPr>
        <w:t>.</w:t>
      </w:r>
      <w:r w:rsidR="004E326C" w:rsidRPr="006C46AB">
        <w:rPr>
          <w:rFonts w:asciiTheme="majorHAnsi" w:hAnsiTheme="majorHAnsi"/>
        </w:rPr>
        <w:t xml:space="preserve"> </w:t>
      </w:r>
      <w:r w:rsidR="004A0881" w:rsidRPr="006C46AB">
        <w:rPr>
          <w:rFonts w:asciiTheme="majorHAnsi" w:hAnsiTheme="majorHAnsi"/>
        </w:rPr>
        <w:t xml:space="preserve">Scatter plots of LPS against morphometric measures suggested a </w:t>
      </w:r>
      <w:r w:rsidR="00226037" w:rsidRPr="006C46AB">
        <w:rPr>
          <w:rFonts w:asciiTheme="majorHAnsi" w:hAnsiTheme="majorHAnsi"/>
        </w:rPr>
        <w:t>U-shaped</w:t>
      </w:r>
      <w:r w:rsidR="004A0881" w:rsidRPr="006C46AB">
        <w:rPr>
          <w:rFonts w:asciiTheme="majorHAnsi" w:hAnsiTheme="majorHAnsi"/>
        </w:rPr>
        <w:t xml:space="preserve"> relationship, so fractional polynomial regression was used to model translocation against them.</w:t>
      </w:r>
    </w:p>
    <w:p w14:paraId="08921164" w14:textId="77777777" w:rsidR="0025423E" w:rsidRPr="006C46AB" w:rsidRDefault="0025423E" w:rsidP="0025423E">
      <w:pPr>
        <w:widowControl w:val="0"/>
        <w:spacing w:line="360" w:lineRule="auto"/>
        <w:rPr>
          <w:rFonts w:asciiTheme="majorHAnsi" w:hAnsiTheme="majorHAnsi"/>
        </w:rPr>
      </w:pPr>
    </w:p>
    <w:p w14:paraId="5C9EF892" w14:textId="77777777" w:rsidR="003123FC" w:rsidRPr="006C46AB" w:rsidRDefault="003123FC" w:rsidP="0025423E">
      <w:pPr>
        <w:widowControl w:val="0"/>
        <w:spacing w:line="360" w:lineRule="auto"/>
        <w:rPr>
          <w:rFonts w:asciiTheme="majorHAnsi" w:hAnsiTheme="majorHAnsi"/>
          <w:b/>
        </w:rPr>
      </w:pPr>
      <w:r w:rsidRPr="006C46AB">
        <w:rPr>
          <w:rFonts w:asciiTheme="majorHAnsi" w:hAnsiTheme="majorHAnsi"/>
          <w:b/>
        </w:rPr>
        <w:t>Results</w:t>
      </w:r>
    </w:p>
    <w:p w14:paraId="59B2E4C9" w14:textId="2558CFAE" w:rsidR="003123FC" w:rsidRPr="006C46AB" w:rsidRDefault="006E70E1" w:rsidP="0025423E">
      <w:pPr>
        <w:widowControl w:val="0"/>
        <w:spacing w:line="360" w:lineRule="auto"/>
        <w:rPr>
          <w:rFonts w:asciiTheme="majorHAnsi" w:hAnsiTheme="majorHAnsi"/>
        </w:rPr>
      </w:pPr>
      <w:r w:rsidRPr="006C46AB">
        <w:rPr>
          <w:rFonts w:asciiTheme="majorHAnsi" w:hAnsiTheme="majorHAnsi"/>
        </w:rPr>
        <w:t xml:space="preserve">Of 81 adults who volunteered for the study, </w:t>
      </w:r>
      <w:r w:rsidR="000D2273" w:rsidRPr="006C46AB">
        <w:rPr>
          <w:rFonts w:asciiTheme="majorHAnsi" w:hAnsiTheme="majorHAnsi"/>
        </w:rPr>
        <w:t xml:space="preserve">61 adults </w:t>
      </w:r>
      <w:r w:rsidR="00597E53" w:rsidRPr="006C46AB">
        <w:rPr>
          <w:rFonts w:asciiTheme="majorHAnsi" w:hAnsiTheme="majorHAnsi"/>
        </w:rPr>
        <w:t>were recruited</w:t>
      </w:r>
      <w:r w:rsidRPr="006C46AB">
        <w:rPr>
          <w:rFonts w:asciiTheme="majorHAnsi" w:hAnsiTheme="majorHAnsi"/>
        </w:rPr>
        <w:t xml:space="preserve"> and 20 were excluded (withdrawals, </w:t>
      </w:r>
      <w:proofErr w:type="spellStart"/>
      <w:r w:rsidRPr="006C46AB">
        <w:rPr>
          <w:rFonts w:asciiTheme="majorHAnsi" w:hAnsiTheme="majorHAnsi"/>
        </w:rPr>
        <w:t>helminth</w:t>
      </w:r>
      <w:proofErr w:type="spellEnd"/>
      <w:r w:rsidRPr="006C46AB">
        <w:rPr>
          <w:rFonts w:asciiTheme="majorHAnsi" w:hAnsiTheme="majorHAnsi"/>
        </w:rPr>
        <w:t xml:space="preserve"> infections, recent diarrhoea or antibiotic or NSAID use)</w:t>
      </w:r>
      <w:r w:rsidR="000D2273" w:rsidRPr="006C46AB">
        <w:rPr>
          <w:rFonts w:asciiTheme="majorHAnsi" w:hAnsiTheme="majorHAnsi"/>
        </w:rPr>
        <w:t xml:space="preserve">. CLE images were not available in 12 participants (one pyloric stenosis, one failure of sedation, ten technical laser problems), so </w:t>
      </w:r>
      <w:r w:rsidR="000144F7" w:rsidRPr="006C46AB">
        <w:rPr>
          <w:rFonts w:asciiTheme="majorHAnsi" w:hAnsiTheme="majorHAnsi"/>
        </w:rPr>
        <w:t xml:space="preserve">we </w:t>
      </w:r>
      <w:r w:rsidR="00853083" w:rsidRPr="006C46AB">
        <w:rPr>
          <w:rFonts w:asciiTheme="majorHAnsi" w:hAnsiTheme="majorHAnsi"/>
        </w:rPr>
        <w:t>report findings in</w:t>
      </w:r>
      <w:r w:rsidR="000144F7" w:rsidRPr="006C46AB">
        <w:rPr>
          <w:rFonts w:asciiTheme="majorHAnsi" w:hAnsiTheme="majorHAnsi"/>
        </w:rPr>
        <w:t xml:space="preserve"> 49</w:t>
      </w:r>
      <w:r w:rsidR="000D2273" w:rsidRPr="006C46AB">
        <w:rPr>
          <w:rFonts w:asciiTheme="majorHAnsi" w:hAnsiTheme="majorHAnsi"/>
        </w:rPr>
        <w:t xml:space="preserve"> adults. HIV seropositive and </w:t>
      </w:r>
      <w:proofErr w:type="spellStart"/>
      <w:r w:rsidR="000D2273" w:rsidRPr="006C46AB">
        <w:rPr>
          <w:rFonts w:asciiTheme="majorHAnsi" w:hAnsiTheme="majorHAnsi"/>
        </w:rPr>
        <w:t>seronegative</w:t>
      </w:r>
      <w:proofErr w:type="spellEnd"/>
      <w:r w:rsidR="000D2273" w:rsidRPr="006C46AB">
        <w:rPr>
          <w:rFonts w:asciiTheme="majorHAnsi" w:hAnsiTheme="majorHAnsi"/>
        </w:rPr>
        <w:t xml:space="preserve"> adul</w:t>
      </w:r>
      <w:r w:rsidR="00A530B5" w:rsidRPr="006C46AB">
        <w:rPr>
          <w:rFonts w:asciiTheme="majorHAnsi" w:hAnsiTheme="majorHAnsi"/>
        </w:rPr>
        <w:t xml:space="preserve">ts differed in age, but not </w:t>
      </w:r>
      <w:r w:rsidRPr="006C46AB">
        <w:rPr>
          <w:rFonts w:asciiTheme="majorHAnsi" w:hAnsiTheme="majorHAnsi"/>
        </w:rPr>
        <w:t>sex, nutritional status, smoking or drinking habits, household living conditions, or treatment of drinking water</w:t>
      </w:r>
      <w:r w:rsidR="000D2273" w:rsidRPr="006C46AB">
        <w:rPr>
          <w:rFonts w:asciiTheme="majorHAnsi" w:hAnsiTheme="majorHAnsi"/>
        </w:rPr>
        <w:t xml:space="preserve"> (Table 1).</w:t>
      </w:r>
      <w:r w:rsidR="00BC7949" w:rsidRPr="006C46AB">
        <w:rPr>
          <w:rFonts w:asciiTheme="majorHAnsi" w:hAnsiTheme="majorHAnsi"/>
        </w:rPr>
        <w:t xml:space="preserve"> The median CD4 count</w:t>
      </w:r>
      <w:r w:rsidR="0049106B" w:rsidRPr="006C46AB">
        <w:rPr>
          <w:rFonts w:asciiTheme="majorHAnsi" w:hAnsiTheme="majorHAnsi"/>
        </w:rPr>
        <w:t xml:space="preserve"> in </w:t>
      </w:r>
      <w:r w:rsidR="00FA231B" w:rsidRPr="006C46AB">
        <w:rPr>
          <w:rFonts w:asciiTheme="majorHAnsi" w:hAnsiTheme="majorHAnsi"/>
        </w:rPr>
        <w:t xml:space="preserve">14 </w:t>
      </w:r>
      <w:r w:rsidR="0049106B" w:rsidRPr="006C46AB">
        <w:rPr>
          <w:rFonts w:asciiTheme="majorHAnsi" w:hAnsiTheme="majorHAnsi"/>
        </w:rPr>
        <w:t>HIV positive participants was &gt;500 cells/</w:t>
      </w:r>
      <w:r w:rsidR="0049106B" w:rsidRPr="006C46AB">
        <w:rPr>
          <w:rFonts w:ascii="Symbol" w:hAnsi="Symbol"/>
        </w:rPr>
        <w:t></w:t>
      </w:r>
      <w:r w:rsidR="0049106B" w:rsidRPr="006C46AB">
        <w:rPr>
          <w:rFonts w:asciiTheme="majorHAnsi" w:hAnsiTheme="majorHAnsi"/>
        </w:rPr>
        <w:t xml:space="preserve">l in both </w:t>
      </w:r>
      <w:r w:rsidR="00446D87" w:rsidRPr="006C46AB">
        <w:rPr>
          <w:rFonts w:asciiTheme="majorHAnsi" w:hAnsiTheme="majorHAnsi"/>
        </w:rPr>
        <w:t>those receiving standard anti-retroviral therapy (</w:t>
      </w:r>
      <w:r w:rsidR="0049106B" w:rsidRPr="006C46AB">
        <w:rPr>
          <w:rFonts w:asciiTheme="majorHAnsi" w:hAnsiTheme="majorHAnsi"/>
        </w:rPr>
        <w:t>AR</w:t>
      </w:r>
      <w:r w:rsidR="00AD42C8" w:rsidRPr="006C46AB">
        <w:rPr>
          <w:rFonts w:asciiTheme="majorHAnsi" w:hAnsiTheme="majorHAnsi"/>
        </w:rPr>
        <w:t>T</w:t>
      </w:r>
      <w:r w:rsidR="00446D87" w:rsidRPr="006C46AB">
        <w:rPr>
          <w:rFonts w:asciiTheme="majorHAnsi" w:hAnsiTheme="majorHAnsi"/>
        </w:rPr>
        <w:t>)</w:t>
      </w:r>
      <w:r w:rsidR="00AD42C8" w:rsidRPr="006C46AB">
        <w:rPr>
          <w:rFonts w:asciiTheme="majorHAnsi" w:hAnsiTheme="majorHAnsi"/>
        </w:rPr>
        <w:t xml:space="preserve"> and </w:t>
      </w:r>
      <w:r w:rsidR="00446D87" w:rsidRPr="006C46AB">
        <w:rPr>
          <w:rFonts w:asciiTheme="majorHAnsi" w:hAnsiTheme="majorHAnsi"/>
        </w:rPr>
        <w:t xml:space="preserve">those who were </w:t>
      </w:r>
      <w:r w:rsidR="00AD42C8" w:rsidRPr="006C46AB">
        <w:rPr>
          <w:rFonts w:asciiTheme="majorHAnsi" w:hAnsiTheme="majorHAnsi"/>
        </w:rPr>
        <w:t xml:space="preserve">ART-naive, with only 1 participant having a CD4 count below </w:t>
      </w:r>
      <w:r w:rsidR="0049106B" w:rsidRPr="006C46AB">
        <w:rPr>
          <w:rFonts w:asciiTheme="majorHAnsi" w:hAnsiTheme="majorHAnsi"/>
        </w:rPr>
        <w:t>200 cells/</w:t>
      </w:r>
      <w:r w:rsidR="0049106B" w:rsidRPr="006C46AB">
        <w:rPr>
          <w:rFonts w:ascii="Symbol" w:hAnsi="Symbol"/>
        </w:rPr>
        <w:t></w:t>
      </w:r>
      <w:r w:rsidR="00AD42C8" w:rsidRPr="006C46AB">
        <w:rPr>
          <w:rFonts w:asciiTheme="majorHAnsi" w:hAnsiTheme="majorHAnsi"/>
        </w:rPr>
        <w:t>l and 7 below 350 cells/</w:t>
      </w:r>
      <w:r w:rsidR="00AD42C8" w:rsidRPr="006C46AB">
        <w:rPr>
          <w:rFonts w:ascii="Symbol" w:hAnsi="Symbol"/>
        </w:rPr>
        <w:t></w:t>
      </w:r>
      <w:r w:rsidR="00AD42C8" w:rsidRPr="006C46AB">
        <w:rPr>
          <w:rFonts w:asciiTheme="majorHAnsi" w:hAnsiTheme="majorHAnsi"/>
        </w:rPr>
        <w:t>l.</w:t>
      </w:r>
      <w:r w:rsidR="00142D85" w:rsidRPr="006C46AB">
        <w:rPr>
          <w:rFonts w:asciiTheme="majorHAnsi" w:hAnsiTheme="majorHAnsi"/>
        </w:rPr>
        <w:t xml:space="preserve"> No adverse events were noted during this study, apart from two </w:t>
      </w:r>
      <w:r w:rsidR="007E1BE1" w:rsidRPr="006C46AB">
        <w:rPr>
          <w:rFonts w:asciiTheme="majorHAnsi" w:hAnsiTheme="majorHAnsi"/>
        </w:rPr>
        <w:t>instanc</w:t>
      </w:r>
      <w:r w:rsidR="00142D85" w:rsidRPr="006C46AB">
        <w:rPr>
          <w:rFonts w:asciiTheme="majorHAnsi" w:hAnsiTheme="majorHAnsi"/>
        </w:rPr>
        <w:t xml:space="preserve">es of </w:t>
      </w:r>
      <w:r w:rsidR="007E1BE1" w:rsidRPr="006C46AB">
        <w:rPr>
          <w:rFonts w:asciiTheme="majorHAnsi" w:hAnsiTheme="majorHAnsi"/>
        </w:rPr>
        <w:t>pain</w:t>
      </w:r>
      <w:r w:rsidR="00142D85" w:rsidRPr="006C46AB">
        <w:rPr>
          <w:rFonts w:asciiTheme="majorHAnsi" w:hAnsiTheme="majorHAnsi"/>
        </w:rPr>
        <w:t xml:space="preserve"> at the site of venous </w:t>
      </w:r>
      <w:proofErr w:type="spellStart"/>
      <w:r w:rsidR="00142D85" w:rsidRPr="006C46AB">
        <w:rPr>
          <w:rFonts w:asciiTheme="majorHAnsi" w:hAnsiTheme="majorHAnsi"/>
        </w:rPr>
        <w:t>cannulation</w:t>
      </w:r>
      <w:proofErr w:type="spellEnd"/>
      <w:r w:rsidR="00142D85" w:rsidRPr="006C46AB">
        <w:rPr>
          <w:rFonts w:asciiTheme="majorHAnsi" w:hAnsiTheme="majorHAnsi"/>
        </w:rPr>
        <w:t>.</w:t>
      </w:r>
    </w:p>
    <w:p w14:paraId="3EFFD480" w14:textId="77777777" w:rsidR="003123FC" w:rsidRPr="006C46AB" w:rsidRDefault="003123FC" w:rsidP="0025423E">
      <w:pPr>
        <w:widowControl w:val="0"/>
        <w:spacing w:line="360" w:lineRule="auto"/>
        <w:rPr>
          <w:rFonts w:asciiTheme="majorHAnsi" w:hAnsiTheme="majorHAnsi"/>
        </w:rPr>
      </w:pPr>
    </w:p>
    <w:p w14:paraId="37F74FA4" w14:textId="77777777" w:rsidR="00FC7600" w:rsidRPr="006C46AB" w:rsidRDefault="00FC7600" w:rsidP="00FC7600">
      <w:pPr>
        <w:widowControl w:val="0"/>
        <w:spacing w:line="360" w:lineRule="auto"/>
        <w:rPr>
          <w:rFonts w:asciiTheme="majorHAnsi" w:hAnsiTheme="majorHAnsi"/>
          <w:b/>
        </w:rPr>
      </w:pPr>
      <w:r w:rsidRPr="006C46AB">
        <w:rPr>
          <w:rFonts w:asciiTheme="majorHAnsi" w:hAnsiTheme="majorHAnsi"/>
          <w:b/>
        </w:rPr>
        <w:t>Table 1 Clinical characteristics of study participants</w:t>
      </w:r>
    </w:p>
    <w:tbl>
      <w:tblPr>
        <w:tblStyle w:val="TableGrid"/>
        <w:tblW w:w="0" w:type="auto"/>
        <w:tblLook w:val="04A0" w:firstRow="1" w:lastRow="0" w:firstColumn="1" w:lastColumn="0" w:noHBand="0" w:noVBand="1"/>
      </w:tblPr>
      <w:tblGrid>
        <w:gridCol w:w="3369"/>
        <w:gridCol w:w="2126"/>
        <w:gridCol w:w="1984"/>
        <w:gridCol w:w="1037"/>
      </w:tblGrid>
      <w:tr w:rsidR="00FC7600" w:rsidRPr="006C46AB" w14:paraId="632D65A1" w14:textId="77777777" w:rsidTr="003961A5">
        <w:tc>
          <w:tcPr>
            <w:tcW w:w="3369" w:type="dxa"/>
          </w:tcPr>
          <w:p w14:paraId="25B721D8" w14:textId="77777777" w:rsidR="00FC7600" w:rsidRPr="006C46AB" w:rsidRDefault="00FC7600" w:rsidP="003961A5">
            <w:pPr>
              <w:widowControl w:val="0"/>
              <w:spacing w:line="360" w:lineRule="auto"/>
              <w:rPr>
                <w:rFonts w:asciiTheme="majorHAnsi" w:hAnsiTheme="majorHAnsi"/>
              </w:rPr>
            </w:pPr>
          </w:p>
        </w:tc>
        <w:tc>
          <w:tcPr>
            <w:tcW w:w="2126" w:type="dxa"/>
          </w:tcPr>
          <w:p w14:paraId="7D9A181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HIV </w:t>
            </w:r>
            <w:proofErr w:type="spellStart"/>
            <w:r w:rsidRPr="006C46AB">
              <w:rPr>
                <w:rFonts w:asciiTheme="majorHAnsi" w:hAnsiTheme="majorHAnsi"/>
              </w:rPr>
              <w:t>seronegative</w:t>
            </w:r>
            <w:proofErr w:type="spellEnd"/>
          </w:p>
          <w:p w14:paraId="1B9ADBD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(n=35)</w:t>
            </w:r>
          </w:p>
        </w:tc>
        <w:tc>
          <w:tcPr>
            <w:tcW w:w="1984" w:type="dxa"/>
          </w:tcPr>
          <w:p w14:paraId="1EEF698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HIV seropositive</w:t>
            </w:r>
          </w:p>
          <w:p w14:paraId="61B0CF1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(n=14)</w:t>
            </w:r>
          </w:p>
        </w:tc>
        <w:tc>
          <w:tcPr>
            <w:tcW w:w="1037" w:type="dxa"/>
          </w:tcPr>
          <w:p w14:paraId="57048349" w14:textId="77777777" w:rsidR="00FC7600" w:rsidRPr="006C46AB" w:rsidRDefault="00FC7600" w:rsidP="003961A5">
            <w:pPr>
              <w:widowControl w:val="0"/>
              <w:spacing w:line="360" w:lineRule="auto"/>
              <w:rPr>
                <w:rFonts w:asciiTheme="majorHAnsi" w:hAnsiTheme="majorHAnsi"/>
                <w:i/>
              </w:rPr>
            </w:pPr>
            <w:r w:rsidRPr="006C46AB">
              <w:rPr>
                <w:rFonts w:asciiTheme="majorHAnsi" w:hAnsiTheme="majorHAnsi"/>
                <w:i/>
              </w:rPr>
              <w:t>P</w:t>
            </w:r>
          </w:p>
        </w:tc>
      </w:tr>
      <w:tr w:rsidR="00FC7600" w:rsidRPr="006C46AB" w14:paraId="292B8CD8" w14:textId="77777777" w:rsidTr="003961A5">
        <w:tc>
          <w:tcPr>
            <w:tcW w:w="3369" w:type="dxa"/>
          </w:tcPr>
          <w:p w14:paraId="5FA0B0B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Sex (M:F)</w:t>
            </w:r>
          </w:p>
        </w:tc>
        <w:tc>
          <w:tcPr>
            <w:tcW w:w="2126" w:type="dxa"/>
          </w:tcPr>
          <w:p w14:paraId="32A87DE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15:20</w:t>
            </w:r>
          </w:p>
        </w:tc>
        <w:tc>
          <w:tcPr>
            <w:tcW w:w="1984" w:type="dxa"/>
          </w:tcPr>
          <w:p w14:paraId="04F1DDF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3:11</w:t>
            </w:r>
          </w:p>
        </w:tc>
        <w:tc>
          <w:tcPr>
            <w:tcW w:w="1037" w:type="dxa"/>
          </w:tcPr>
          <w:p w14:paraId="4DDCC2D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0.20</w:t>
            </w:r>
          </w:p>
        </w:tc>
      </w:tr>
      <w:tr w:rsidR="00FC7600" w:rsidRPr="006C46AB" w14:paraId="6C263D8C" w14:textId="77777777" w:rsidTr="003961A5">
        <w:tc>
          <w:tcPr>
            <w:tcW w:w="3369" w:type="dxa"/>
          </w:tcPr>
          <w:p w14:paraId="06C7130A"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Age (years): median (IQR) [range]</w:t>
            </w:r>
          </w:p>
        </w:tc>
        <w:tc>
          <w:tcPr>
            <w:tcW w:w="2126" w:type="dxa"/>
          </w:tcPr>
          <w:p w14:paraId="1E320E92"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24 (21-37)</w:t>
            </w:r>
          </w:p>
          <w:p w14:paraId="0165C9C4"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[18-55]</w:t>
            </w:r>
          </w:p>
        </w:tc>
        <w:tc>
          <w:tcPr>
            <w:tcW w:w="1984" w:type="dxa"/>
          </w:tcPr>
          <w:p w14:paraId="38FA05B2"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36 (31-47)</w:t>
            </w:r>
          </w:p>
          <w:p w14:paraId="6AB95EE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[22-55]</w:t>
            </w:r>
          </w:p>
        </w:tc>
        <w:tc>
          <w:tcPr>
            <w:tcW w:w="1037" w:type="dxa"/>
          </w:tcPr>
          <w:p w14:paraId="647B6032"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0.008</w:t>
            </w:r>
          </w:p>
        </w:tc>
      </w:tr>
      <w:tr w:rsidR="00FC7600" w:rsidRPr="006C46AB" w14:paraId="4D1BE115" w14:textId="77777777" w:rsidTr="003961A5">
        <w:tc>
          <w:tcPr>
            <w:tcW w:w="3369" w:type="dxa"/>
          </w:tcPr>
          <w:p w14:paraId="1214067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Secondary education (n, %)</w:t>
            </w:r>
          </w:p>
        </w:tc>
        <w:tc>
          <w:tcPr>
            <w:tcW w:w="2126" w:type="dxa"/>
          </w:tcPr>
          <w:p w14:paraId="2548DE92"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18 (52)</w:t>
            </w:r>
          </w:p>
        </w:tc>
        <w:tc>
          <w:tcPr>
            <w:tcW w:w="1984" w:type="dxa"/>
          </w:tcPr>
          <w:p w14:paraId="778F4A9F"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7 (50)</w:t>
            </w:r>
          </w:p>
        </w:tc>
        <w:tc>
          <w:tcPr>
            <w:tcW w:w="1037" w:type="dxa"/>
          </w:tcPr>
          <w:p w14:paraId="4F2EAFD2"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1.00</w:t>
            </w:r>
          </w:p>
        </w:tc>
      </w:tr>
      <w:tr w:rsidR="00FC7600" w:rsidRPr="006C46AB" w14:paraId="144F339C" w14:textId="77777777" w:rsidTr="003961A5">
        <w:tc>
          <w:tcPr>
            <w:tcW w:w="3369" w:type="dxa"/>
          </w:tcPr>
          <w:p w14:paraId="4196BBA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Asset scores </w:t>
            </w:r>
          </w:p>
        </w:tc>
        <w:tc>
          <w:tcPr>
            <w:tcW w:w="2126" w:type="dxa"/>
          </w:tcPr>
          <w:p w14:paraId="4EA97AB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 (1-4) [0-4]</w:t>
            </w:r>
          </w:p>
        </w:tc>
        <w:tc>
          <w:tcPr>
            <w:tcW w:w="1984" w:type="dxa"/>
          </w:tcPr>
          <w:p w14:paraId="56D4924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3 (2-3) [0-4]</w:t>
            </w:r>
          </w:p>
        </w:tc>
        <w:tc>
          <w:tcPr>
            <w:tcW w:w="1037" w:type="dxa"/>
          </w:tcPr>
          <w:p w14:paraId="33FD37B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0.97</w:t>
            </w:r>
          </w:p>
        </w:tc>
      </w:tr>
      <w:tr w:rsidR="00FC7600" w:rsidRPr="006C46AB" w14:paraId="5555D20A" w14:textId="77777777" w:rsidTr="003961A5">
        <w:tc>
          <w:tcPr>
            <w:tcW w:w="3369" w:type="dxa"/>
          </w:tcPr>
          <w:p w14:paraId="3D7BB02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Household hygiene score </w:t>
            </w:r>
          </w:p>
        </w:tc>
        <w:tc>
          <w:tcPr>
            <w:tcW w:w="2126" w:type="dxa"/>
          </w:tcPr>
          <w:p w14:paraId="4D20AE44"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6 (5-8) [4-10)</w:t>
            </w:r>
          </w:p>
        </w:tc>
        <w:tc>
          <w:tcPr>
            <w:tcW w:w="1984" w:type="dxa"/>
          </w:tcPr>
          <w:p w14:paraId="79CA3D1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6 (5-8) [4-9) </w:t>
            </w:r>
          </w:p>
        </w:tc>
        <w:tc>
          <w:tcPr>
            <w:tcW w:w="1037" w:type="dxa"/>
          </w:tcPr>
          <w:p w14:paraId="5E96AC1E"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0.82</w:t>
            </w:r>
          </w:p>
        </w:tc>
      </w:tr>
      <w:tr w:rsidR="00FC7600" w:rsidRPr="006C46AB" w14:paraId="4D214B58" w14:textId="77777777" w:rsidTr="003961A5">
        <w:tc>
          <w:tcPr>
            <w:tcW w:w="3369" w:type="dxa"/>
          </w:tcPr>
          <w:p w14:paraId="5867ACF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Smoking, ever</w:t>
            </w:r>
          </w:p>
        </w:tc>
        <w:tc>
          <w:tcPr>
            <w:tcW w:w="2126" w:type="dxa"/>
          </w:tcPr>
          <w:p w14:paraId="1C643A3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 (6)</w:t>
            </w:r>
          </w:p>
        </w:tc>
        <w:tc>
          <w:tcPr>
            <w:tcW w:w="1984" w:type="dxa"/>
          </w:tcPr>
          <w:p w14:paraId="4C19C3FE"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 (14)</w:t>
            </w:r>
          </w:p>
        </w:tc>
        <w:tc>
          <w:tcPr>
            <w:tcW w:w="1037" w:type="dxa"/>
          </w:tcPr>
          <w:p w14:paraId="1380BEB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0.57</w:t>
            </w:r>
          </w:p>
        </w:tc>
      </w:tr>
      <w:tr w:rsidR="00FC7600" w:rsidRPr="006C46AB" w14:paraId="3DC94F15" w14:textId="77777777" w:rsidTr="003961A5">
        <w:tc>
          <w:tcPr>
            <w:tcW w:w="3369" w:type="dxa"/>
          </w:tcPr>
          <w:p w14:paraId="1154592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Alcohol, ever consumed</w:t>
            </w:r>
          </w:p>
        </w:tc>
        <w:tc>
          <w:tcPr>
            <w:tcW w:w="2126" w:type="dxa"/>
          </w:tcPr>
          <w:p w14:paraId="6BECA2A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14 (42)</w:t>
            </w:r>
          </w:p>
        </w:tc>
        <w:tc>
          <w:tcPr>
            <w:tcW w:w="1984" w:type="dxa"/>
          </w:tcPr>
          <w:p w14:paraId="7029B69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5 (30)</w:t>
            </w:r>
          </w:p>
        </w:tc>
        <w:tc>
          <w:tcPr>
            <w:tcW w:w="1037" w:type="dxa"/>
          </w:tcPr>
          <w:p w14:paraId="0B4DABE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1.00</w:t>
            </w:r>
          </w:p>
        </w:tc>
      </w:tr>
      <w:tr w:rsidR="00FC7600" w:rsidRPr="006C46AB" w14:paraId="3D935657" w14:textId="77777777" w:rsidTr="003961A5">
        <w:tc>
          <w:tcPr>
            <w:tcW w:w="3369" w:type="dxa"/>
          </w:tcPr>
          <w:p w14:paraId="6EEBA40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Ever boil drinking water</w:t>
            </w:r>
          </w:p>
        </w:tc>
        <w:tc>
          <w:tcPr>
            <w:tcW w:w="2126" w:type="dxa"/>
          </w:tcPr>
          <w:p w14:paraId="60FFB039"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7 (20)</w:t>
            </w:r>
          </w:p>
        </w:tc>
        <w:tc>
          <w:tcPr>
            <w:tcW w:w="1984" w:type="dxa"/>
          </w:tcPr>
          <w:p w14:paraId="4C18704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 (7)</w:t>
            </w:r>
          </w:p>
        </w:tc>
        <w:tc>
          <w:tcPr>
            <w:tcW w:w="1037" w:type="dxa"/>
          </w:tcPr>
          <w:p w14:paraId="6097E0AE"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0.41</w:t>
            </w:r>
          </w:p>
        </w:tc>
      </w:tr>
      <w:tr w:rsidR="00FC7600" w:rsidRPr="006C46AB" w14:paraId="48AE3E70" w14:textId="77777777" w:rsidTr="003961A5">
        <w:tc>
          <w:tcPr>
            <w:tcW w:w="3369" w:type="dxa"/>
          </w:tcPr>
          <w:p w14:paraId="58642D5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Ever chlorinate drinking water</w:t>
            </w:r>
          </w:p>
        </w:tc>
        <w:tc>
          <w:tcPr>
            <w:tcW w:w="2126" w:type="dxa"/>
          </w:tcPr>
          <w:p w14:paraId="162CEF8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20 (57)</w:t>
            </w:r>
          </w:p>
        </w:tc>
        <w:tc>
          <w:tcPr>
            <w:tcW w:w="1984" w:type="dxa"/>
          </w:tcPr>
          <w:p w14:paraId="54EDBDFF"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11 (79)</w:t>
            </w:r>
          </w:p>
        </w:tc>
        <w:tc>
          <w:tcPr>
            <w:tcW w:w="1037" w:type="dxa"/>
          </w:tcPr>
          <w:p w14:paraId="3F9EC31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0.20</w:t>
            </w:r>
          </w:p>
        </w:tc>
      </w:tr>
      <w:tr w:rsidR="00FC7600" w:rsidRPr="006C46AB" w14:paraId="4D394046" w14:textId="77777777" w:rsidTr="003961A5">
        <w:tc>
          <w:tcPr>
            <w:tcW w:w="3369" w:type="dxa"/>
          </w:tcPr>
          <w:p w14:paraId="5F9E31A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BMI (kg/m</w:t>
            </w:r>
            <w:r w:rsidRPr="006C46AB">
              <w:rPr>
                <w:rFonts w:asciiTheme="majorHAnsi" w:hAnsiTheme="majorHAnsi"/>
                <w:vertAlign w:val="superscript"/>
              </w:rPr>
              <w:t>2</w:t>
            </w:r>
            <w:r w:rsidRPr="006C46AB">
              <w:rPr>
                <w:rFonts w:asciiTheme="majorHAnsi" w:hAnsiTheme="majorHAnsi"/>
              </w:rPr>
              <w:t>; median, IQR)</w:t>
            </w:r>
          </w:p>
        </w:tc>
        <w:tc>
          <w:tcPr>
            <w:tcW w:w="2126" w:type="dxa"/>
          </w:tcPr>
          <w:p w14:paraId="52E444F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22.4 (20.2-24.9)</w:t>
            </w:r>
          </w:p>
          <w:p w14:paraId="1A358089"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[17.0-52.0]</w:t>
            </w:r>
          </w:p>
        </w:tc>
        <w:tc>
          <w:tcPr>
            <w:tcW w:w="1984" w:type="dxa"/>
          </w:tcPr>
          <w:p w14:paraId="1190B6FA"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23.4 (20.7-30.3)</w:t>
            </w:r>
          </w:p>
          <w:p w14:paraId="77C858E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[16.9-44.3]</w:t>
            </w:r>
          </w:p>
        </w:tc>
        <w:tc>
          <w:tcPr>
            <w:tcW w:w="1037" w:type="dxa"/>
          </w:tcPr>
          <w:p w14:paraId="5C088092"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0.40</w:t>
            </w:r>
          </w:p>
        </w:tc>
      </w:tr>
      <w:tr w:rsidR="00FC7600" w:rsidRPr="006C46AB" w14:paraId="6EBBD311" w14:textId="77777777" w:rsidTr="003961A5">
        <w:tc>
          <w:tcPr>
            <w:tcW w:w="3369" w:type="dxa"/>
          </w:tcPr>
          <w:p w14:paraId="2863921A"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MUAC (cm; median, IQR)</w:t>
            </w:r>
          </w:p>
        </w:tc>
        <w:tc>
          <w:tcPr>
            <w:tcW w:w="2126" w:type="dxa"/>
          </w:tcPr>
          <w:p w14:paraId="0EE8ACAA"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26.4 (25.0-29.0)</w:t>
            </w:r>
          </w:p>
          <w:p w14:paraId="0F34B899"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[21.8-34]</w:t>
            </w:r>
          </w:p>
        </w:tc>
        <w:tc>
          <w:tcPr>
            <w:tcW w:w="1984" w:type="dxa"/>
          </w:tcPr>
          <w:p w14:paraId="749A79F4"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27.5 (25.5-34)</w:t>
            </w:r>
          </w:p>
          <w:p w14:paraId="6545849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[20.4-43]</w:t>
            </w:r>
          </w:p>
        </w:tc>
        <w:tc>
          <w:tcPr>
            <w:tcW w:w="1037" w:type="dxa"/>
          </w:tcPr>
          <w:p w14:paraId="36FBA37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0.25</w:t>
            </w:r>
          </w:p>
        </w:tc>
      </w:tr>
      <w:tr w:rsidR="00FC7600" w:rsidRPr="006C46AB" w14:paraId="1E5D24F2" w14:textId="77777777" w:rsidTr="003961A5">
        <w:tc>
          <w:tcPr>
            <w:tcW w:w="3369" w:type="dxa"/>
          </w:tcPr>
          <w:p w14:paraId="369D192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Taking ART (n, %)</w:t>
            </w:r>
          </w:p>
        </w:tc>
        <w:tc>
          <w:tcPr>
            <w:tcW w:w="2126" w:type="dxa"/>
          </w:tcPr>
          <w:p w14:paraId="43DACF40" w14:textId="77777777" w:rsidR="00FC7600" w:rsidRPr="006C46AB" w:rsidRDefault="00FC7600" w:rsidP="003961A5">
            <w:pPr>
              <w:widowControl w:val="0"/>
              <w:spacing w:line="360" w:lineRule="auto"/>
              <w:rPr>
                <w:rFonts w:asciiTheme="majorHAnsi" w:hAnsiTheme="majorHAnsi"/>
              </w:rPr>
            </w:pPr>
          </w:p>
        </w:tc>
        <w:tc>
          <w:tcPr>
            <w:tcW w:w="1984" w:type="dxa"/>
          </w:tcPr>
          <w:p w14:paraId="3C4D9B2C"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6 (43)</w:t>
            </w:r>
          </w:p>
        </w:tc>
        <w:tc>
          <w:tcPr>
            <w:tcW w:w="1037" w:type="dxa"/>
          </w:tcPr>
          <w:p w14:paraId="0846C76C" w14:textId="77777777" w:rsidR="00FC7600" w:rsidRPr="006C46AB" w:rsidRDefault="00FC7600" w:rsidP="003961A5">
            <w:pPr>
              <w:widowControl w:val="0"/>
              <w:spacing w:line="360" w:lineRule="auto"/>
              <w:rPr>
                <w:rFonts w:asciiTheme="majorHAnsi" w:hAnsiTheme="majorHAnsi"/>
              </w:rPr>
            </w:pPr>
          </w:p>
        </w:tc>
      </w:tr>
      <w:tr w:rsidR="00FC7600" w:rsidRPr="006C46AB" w14:paraId="4019BC4B" w14:textId="77777777" w:rsidTr="003961A5">
        <w:tc>
          <w:tcPr>
            <w:tcW w:w="3369" w:type="dxa"/>
          </w:tcPr>
          <w:p w14:paraId="765F1FE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CD4 count (cells/</w:t>
            </w:r>
            <w:r w:rsidRPr="006C46AB">
              <w:rPr>
                <w:rFonts w:ascii="Symbol" w:hAnsi="Symbol"/>
              </w:rPr>
              <w:t></w:t>
            </w:r>
            <w:r w:rsidRPr="006C46AB">
              <w:rPr>
                <w:rFonts w:asciiTheme="majorHAnsi" w:hAnsiTheme="majorHAnsi"/>
              </w:rPr>
              <w:t>l)</w:t>
            </w:r>
          </w:p>
          <w:p w14:paraId="3A58699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on ART (n=6)</w:t>
            </w:r>
          </w:p>
          <w:p w14:paraId="6CD6A86E" w14:textId="77777777" w:rsidR="00FC7600" w:rsidRPr="006C46AB" w:rsidRDefault="00FC7600" w:rsidP="003961A5">
            <w:pPr>
              <w:widowControl w:val="0"/>
              <w:spacing w:line="360" w:lineRule="auto"/>
              <w:rPr>
                <w:rFonts w:asciiTheme="majorHAnsi" w:hAnsiTheme="majorHAnsi"/>
              </w:rPr>
            </w:pPr>
          </w:p>
          <w:p w14:paraId="02086C1E"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not on ART (n=8)</w:t>
            </w:r>
          </w:p>
        </w:tc>
        <w:tc>
          <w:tcPr>
            <w:tcW w:w="2126" w:type="dxa"/>
          </w:tcPr>
          <w:p w14:paraId="18285A99" w14:textId="77777777" w:rsidR="00FC7600" w:rsidRPr="006C46AB" w:rsidRDefault="00FC7600" w:rsidP="003961A5">
            <w:pPr>
              <w:widowControl w:val="0"/>
              <w:spacing w:line="360" w:lineRule="auto"/>
              <w:rPr>
                <w:rFonts w:asciiTheme="majorHAnsi" w:hAnsiTheme="majorHAnsi"/>
              </w:rPr>
            </w:pPr>
          </w:p>
        </w:tc>
        <w:tc>
          <w:tcPr>
            <w:tcW w:w="1984" w:type="dxa"/>
          </w:tcPr>
          <w:p w14:paraId="5F284CB1" w14:textId="77777777" w:rsidR="00FC7600" w:rsidRPr="006C46AB" w:rsidRDefault="00FC7600" w:rsidP="003961A5">
            <w:pPr>
              <w:widowControl w:val="0"/>
              <w:spacing w:line="360" w:lineRule="auto"/>
              <w:rPr>
                <w:rFonts w:asciiTheme="majorHAnsi" w:hAnsiTheme="majorHAnsi"/>
              </w:rPr>
            </w:pPr>
          </w:p>
          <w:p w14:paraId="2812FA1E"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513 (336-699)</w:t>
            </w:r>
          </w:p>
          <w:p w14:paraId="7B12263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[160-883]</w:t>
            </w:r>
          </w:p>
          <w:p w14:paraId="0251EE1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520 (369-690)</w:t>
            </w:r>
          </w:p>
          <w:p w14:paraId="1C27D2F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[218-816]</w:t>
            </w:r>
          </w:p>
        </w:tc>
        <w:tc>
          <w:tcPr>
            <w:tcW w:w="1037" w:type="dxa"/>
          </w:tcPr>
          <w:p w14:paraId="3ED5ACDF" w14:textId="77777777" w:rsidR="00FC7600" w:rsidRPr="006C46AB" w:rsidRDefault="00FC7600" w:rsidP="003961A5">
            <w:pPr>
              <w:widowControl w:val="0"/>
              <w:spacing w:line="360" w:lineRule="auto"/>
              <w:rPr>
                <w:rFonts w:asciiTheme="majorHAnsi" w:hAnsiTheme="majorHAnsi"/>
              </w:rPr>
            </w:pPr>
          </w:p>
          <w:p w14:paraId="2655AEA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0.67</w:t>
            </w:r>
          </w:p>
        </w:tc>
      </w:tr>
    </w:tbl>
    <w:p w14:paraId="3659669C" w14:textId="77777777" w:rsidR="00FC7600" w:rsidRPr="006C46AB" w:rsidRDefault="00FC7600" w:rsidP="00FC7600">
      <w:pPr>
        <w:widowControl w:val="0"/>
        <w:rPr>
          <w:rFonts w:asciiTheme="majorHAnsi" w:hAnsiTheme="majorHAnsi"/>
        </w:rPr>
      </w:pPr>
      <w:r w:rsidRPr="006C46AB">
        <w:rPr>
          <w:rFonts w:asciiTheme="majorHAnsi" w:hAnsiTheme="majorHAnsi"/>
        </w:rPr>
        <w:t>Values shown are median (interquartile range), and range in square brackets. ART, anti-retroviral therapy. The asset score is based on ownership of the house, electricity in the house, radio, and mobile phone. The household hygiene score is generated on a scale of</w:t>
      </w:r>
    </w:p>
    <w:p w14:paraId="1EC22E97" w14:textId="77777777" w:rsidR="00FC7600" w:rsidRPr="006C46AB" w:rsidRDefault="00FC7600" w:rsidP="00FC7600">
      <w:pPr>
        <w:widowControl w:val="0"/>
        <w:rPr>
          <w:rFonts w:asciiTheme="majorHAnsi" w:hAnsiTheme="majorHAnsi"/>
        </w:rPr>
      </w:pPr>
      <w:r w:rsidRPr="006C46AB">
        <w:rPr>
          <w:rFonts w:asciiTheme="majorHAnsi" w:hAnsiTheme="majorHAnsi"/>
        </w:rPr>
        <w:t xml:space="preserve">1−10, with up to two points being given for each of : overall cleanliness of the house, water storage facilities, food storage facilities, </w:t>
      </w:r>
      <w:proofErr w:type="spellStart"/>
      <w:r w:rsidRPr="006C46AB">
        <w:rPr>
          <w:rFonts w:asciiTheme="majorHAnsi" w:hAnsiTheme="majorHAnsi"/>
        </w:rPr>
        <w:t>handwashing</w:t>
      </w:r>
      <w:proofErr w:type="spellEnd"/>
      <w:r w:rsidRPr="006C46AB">
        <w:rPr>
          <w:rFonts w:asciiTheme="majorHAnsi" w:hAnsiTheme="majorHAnsi"/>
        </w:rPr>
        <w:t xml:space="preserve"> facilities and their use, and sanitation facilities</w:t>
      </w:r>
    </w:p>
    <w:p w14:paraId="293A2DAF" w14:textId="77777777" w:rsidR="00FC7600" w:rsidRPr="006C46AB" w:rsidRDefault="00FC7600" w:rsidP="0025423E">
      <w:pPr>
        <w:widowControl w:val="0"/>
        <w:spacing w:line="360" w:lineRule="auto"/>
        <w:rPr>
          <w:rFonts w:asciiTheme="majorHAnsi" w:hAnsiTheme="majorHAnsi"/>
        </w:rPr>
      </w:pPr>
    </w:p>
    <w:p w14:paraId="0EA67C8F" w14:textId="13AA9CE6" w:rsidR="00AC61BC" w:rsidRPr="006C46AB" w:rsidRDefault="00AC61BC" w:rsidP="0025423E">
      <w:pPr>
        <w:widowControl w:val="0"/>
        <w:spacing w:line="360" w:lineRule="auto"/>
        <w:rPr>
          <w:rFonts w:asciiTheme="majorHAnsi" w:hAnsiTheme="majorHAnsi"/>
          <w:i/>
        </w:rPr>
      </w:pPr>
      <w:r w:rsidRPr="006C46AB">
        <w:rPr>
          <w:rFonts w:asciiTheme="majorHAnsi" w:hAnsiTheme="majorHAnsi"/>
          <w:i/>
        </w:rPr>
        <w:t>Confocal endomicroscopy</w:t>
      </w:r>
    </w:p>
    <w:p w14:paraId="011B0A77" w14:textId="77777777" w:rsidR="0007509D" w:rsidRPr="006C46AB" w:rsidRDefault="000144F7" w:rsidP="0007509D">
      <w:pPr>
        <w:widowControl w:val="0"/>
        <w:spacing w:line="360" w:lineRule="auto"/>
        <w:rPr>
          <w:rFonts w:asciiTheme="majorHAnsi" w:hAnsiTheme="majorHAnsi"/>
        </w:rPr>
      </w:pPr>
      <w:r w:rsidRPr="006C46AB">
        <w:rPr>
          <w:rFonts w:asciiTheme="majorHAnsi" w:hAnsiTheme="majorHAnsi"/>
        </w:rPr>
        <w:t xml:space="preserve">Image quality was unsatisfactory in 8 image sets, so CLE data are presented on 41 participants. </w:t>
      </w:r>
      <w:r w:rsidR="0007509D" w:rsidRPr="006C46AB">
        <w:rPr>
          <w:rFonts w:asciiTheme="majorHAnsi" w:hAnsiTheme="majorHAnsi"/>
        </w:rPr>
        <w:t xml:space="preserve">Examples of normal epithelium with an intact barrier, fluorescein leakage “plumes”, single cell epithelial defects and epithelial erosions are presented in Figure 1. </w:t>
      </w:r>
    </w:p>
    <w:p w14:paraId="6DCD8D73" w14:textId="6BFEE1E4" w:rsidR="00AC61BC" w:rsidRPr="006C46AB" w:rsidRDefault="00831FDF" w:rsidP="0025423E">
      <w:pPr>
        <w:widowControl w:val="0"/>
        <w:spacing w:line="360" w:lineRule="auto"/>
        <w:rPr>
          <w:rFonts w:asciiTheme="majorHAnsi" w:hAnsiTheme="majorHAnsi"/>
        </w:rPr>
      </w:pPr>
      <w:r w:rsidRPr="006C46AB">
        <w:rPr>
          <w:rFonts w:asciiTheme="majorHAnsi" w:hAnsiTheme="majorHAnsi"/>
        </w:rPr>
        <w:t xml:space="preserve">There were only 8 participants </w:t>
      </w:r>
      <w:r w:rsidR="00AB5096" w:rsidRPr="006C46AB">
        <w:rPr>
          <w:rFonts w:asciiTheme="majorHAnsi" w:hAnsiTheme="majorHAnsi"/>
        </w:rPr>
        <w:t>(</w:t>
      </w:r>
      <w:r w:rsidR="00107DEB" w:rsidRPr="006C46AB">
        <w:rPr>
          <w:rFonts w:asciiTheme="majorHAnsi" w:hAnsiTheme="majorHAnsi"/>
        </w:rPr>
        <w:t>20</w:t>
      </w:r>
      <w:r w:rsidR="00AB5096" w:rsidRPr="006C46AB">
        <w:rPr>
          <w:rFonts w:asciiTheme="majorHAnsi" w:hAnsiTheme="majorHAnsi"/>
        </w:rPr>
        <w:t xml:space="preserve">%) </w:t>
      </w:r>
      <w:r w:rsidRPr="006C46AB">
        <w:rPr>
          <w:rFonts w:asciiTheme="majorHAnsi" w:hAnsiTheme="majorHAnsi"/>
        </w:rPr>
        <w:t>in whom no luminal leakage of fluorescein was detected in the lumen, and only 2</w:t>
      </w:r>
      <w:r w:rsidR="00107DEB" w:rsidRPr="006C46AB">
        <w:rPr>
          <w:rFonts w:asciiTheme="majorHAnsi" w:hAnsiTheme="majorHAnsi"/>
        </w:rPr>
        <w:t xml:space="preserve"> (5</w:t>
      </w:r>
      <w:r w:rsidR="00AB5096" w:rsidRPr="006C46AB">
        <w:rPr>
          <w:rFonts w:asciiTheme="majorHAnsi" w:hAnsiTheme="majorHAnsi"/>
        </w:rPr>
        <w:t xml:space="preserve">%) </w:t>
      </w:r>
      <w:r w:rsidRPr="006C46AB">
        <w:rPr>
          <w:rFonts w:asciiTheme="majorHAnsi" w:hAnsiTheme="majorHAnsi"/>
        </w:rPr>
        <w:t xml:space="preserve"> with no </w:t>
      </w:r>
      <w:r w:rsidR="001479D0" w:rsidRPr="006C46AB">
        <w:rPr>
          <w:rFonts w:asciiTheme="majorHAnsi" w:hAnsiTheme="majorHAnsi"/>
        </w:rPr>
        <w:t xml:space="preserve">fluorescein </w:t>
      </w:r>
      <w:r w:rsidRPr="006C46AB">
        <w:rPr>
          <w:rFonts w:asciiTheme="majorHAnsi" w:hAnsiTheme="majorHAnsi"/>
        </w:rPr>
        <w:t xml:space="preserve">plumes. </w:t>
      </w:r>
      <w:r w:rsidR="007C47D7" w:rsidRPr="006C46AB">
        <w:rPr>
          <w:rFonts w:asciiTheme="majorHAnsi" w:hAnsiTheme="majorHAnsi"/>
        </w:rPr>
        <w:t xml:space="preserve">The high frequency with which these lesions was observed contrasts sharply with </w:t>
      </w:r>
      <w:r w:rsidR="003A1EF3" w:rsidRPr="006C46AB">
        <w:rPr>
          <w:rFonts w:asciiTheme="majorHAnsi" w:hAnsiTheme="majorHAnsi"/>
        </w:rPr>
        <w:t xml:space="preserve">previous work in </w:t>
      </w:r>
      <w:r w:rsidR="007C47D7" w:rsidRPr="006C46AB">
        <w:rPr>
          <w:rFonts w:asciiTheme="majorHAnsi" w:hAnsiTheme="majorHAnsi"/>
        </w:rPr>
        <w:t>a healthy German population</w:t>
      </w:r>
      <w:r w:rsidR="00EA13DA" w:rsidRPr="006C46AB">
        <w:rPr>
          <w:rFonts w:asciiTheme="majorHAnsi" w:hAnsiTheme="majorHAnsi"/>
        </w:rPr>
        <w:t xml:space="preserve">, using the same </w:t>
      </w:r>
      <w:r w:rsidR="00BC7949" w:rsidRPr="006C46AB">
        <w:rPr>
          <w:rFonts w:asciiTheme="majorHAnsi" w:hAnsiTheme="majorHAnsi"/>
        </w:rPr>
        <w:t xml:space="preserve">model of </w:t>
      </w:r>
      <w:r w:rsidR="00EA13DA" w:rsidRPr="006C46AB">
        <w:rPr>
          <w:rFonts w:asciiTheme="majorHAnsi" w:hAnsiTheme="majorHAnsi"/>
        </w:rPr>
        <w:t>Pentax CLE instrument,</w:t>
      </w:r>
      <w:r w:rsidR="00AD42C8" w:rsidRPr="006C46AB">
        <w:rPr>
          <w:rFonts w:asciiTheme="majorHAnsi" w:hAnsiTheme="majorHAnsi"/>
        </w:rPr>
        <w:t xml:space="preserve"> in which eight controls </w:t>
      </w:r>
      <w:r w:rsidR="007C47D7" w:rsidRPr="006C46AB">
        <w:rPr>
          <w:rFonts w:asciiTheme="majorHAnsi" w:hAnsiTheme="majorHAnsi"/>
        </w:rPr>
        <w:t>had a Watson score of 1</w:t>
      </w:r>
      <w:r w:rsidR="00FA231B" w:rsidRPr="006C46AB">
        <w:rPr>
          <w:rFonts w:asciiTheme="majorHAnsi" w:hAnsiTheme="majorHAnsi"/>
        </w:rPr>
        <w:t xml:space="preserve"> (i.e. no fluorescein plumes / leakage)</w:t>
      </w:r>
      <w:r w:rsidR="007C47D7" w:rsidRPr="006C46AB">
        <w:rPr>
          <w:rFonts w:asciiTheme="majorHAnsi" w:hAnsiTheme="majorHAnsi"/>
        </w:rPr>
        <w:t xml:space="preserve">, two scored 2 </w:t>
      </w:r>
      <w:r w:rsidR="00A41376" w:rsidRPr="006C46AB">
        <w:rPr>
          <w:rFonts w:asciiTheme="majorHAnsi" w:hAnsiTheme="majorHAnsi"/>
        </w:rPr>
        <w:t xml:space="preserve">(i.e. fluorescein leakage but no </w:t>
      </w:r>
      <w:proofErr w:type="spellStart"/>
      <w:r w:rsidR="00A41376" w:rsidRPr="006C46AB">
        <w:rPr>
          <w:rFonts w:asciiTheme="majorHAnsi" w:hAnsiTheme="majorHAnsi"/>
        </w:rPr>
        <w:t>microerosions</w:t>
      </w:r>
      <w:proofErr w:type="spellEnd"/>
      <w:r w:rsidR="00A41376" w:rsidRPr="006C46AB">
        <w:rPr>
          <w:rFonts w:asciiTheme="majorHAnsi" w:hAnsiTheme="majorHAnsi"/>
        </w:rPr>
        <w:t xml:space="preserve">) </w:t>
      </w:r>
      <w:r w:rsidR="007C47D7" w:rsidRPr="006C46AB">
        <w:rPr>
          <w:rFonts w:asciiTheme="majorHAnsi" w:hAnsiTheme="majorHAnsi"/>
        </w:rPr>
        <w:t>and none scored 3</w:t>
      </w:r>
      <w:r w:rsidR="00A41376" w:rsidRPr="006C46AB">
        <w:rPr>
          <w:rFonts w:asciiTheme="majorHAnsi" w:hAnsiTheme="majorHAnsi"/>
        </w:rPr>
        <w:t xml:space="preserve"> (fluorescein leakage with any </w:t>
      </w:r>
      <w:proofErr w:type="spellStart"/>
      <w:r w:rsidR="00A41376" w:rsidRPr="006C46AB">
        <w:rPr>
          <w:rFonts w:asciiTheme="majorHAnsi" w:hAnsiTheme="majorHAnsi"/>
        </w:rPr>
        <w:t>microerosions</w:t>
      </w:r>
      <w:proofErr w:type="spellEnd"/>
      <w:r w:rsidR="00A41376" w:rsidRPr="006C46AB">
        <w:rPr>
          <w:rFonts w:asciiTheme="majorHAnsi" w:hAnsiTheme="majorHAnsi"/>
        </w:rPr>
        <w:t>)</w:t>
      </w:r>
      <w:r w:rsidR="00FA0E1A" w:rsidRPr="006C46AB">
        <w:rPr>
          <w:rFonts w:asciiTheme="majorHAnsi" w:hAnsiTheme="majorHAnsi"/>
          <w:vertAlign w:val="superscript"/>
        </w:rPr>
        <w:t>3</w:t>
      </w:r>
      <w:r w:rsidR="00251E14" w:rsidRPr="006C46AB">
        <w:rPr>
          <w:rFonts w:asciiTheme="majorHAnsi" w:hAnsiTheme="majorHAnsi"/>
          <w:vertAlign w:val="superscript"/>
        </w:rPr>
        <w:t>0</w:t>
      </w:r>
      <w:r w:rsidR="007C47D7" w:rsidRPr="006C46AB">
        <w:rPr>
          <w:rFonts w:asciiTheme="majorHAnsi" w:hAnsiTheme="majorHAnsi"/>
        </w:rPr>
        <w:t xml:space="preserve">. In our participants, </w:t>
      </w:r>
      <w:r w:rsidR="00107DEB" w:rsidRPr="006C46AB">
        <w:rPr>
          <w:rFonts w:asciiTheme="majorHAnsi" w:hAnsiTheme="majorHAnsi"/>
        </w:rPr>
        <w:t>4</w:t>
      </w:r>
      <w:r w:rsidR="00AB5096" w:rsidRPr="006C46AB">
        <w:rPr>
          <w:rFonts w:asciiTheme="majorHAnsi" w:hAnsiTheme="majorHAnsi"/>
        </w:rPr>
        <w:t xml:space="preserve"> (</w:t>
      </w:r>
      <w:r w:rsidR="00107DEB" w:rsidRPr="006C46AB">
        <w:rPr>
          <w:rFonts w:asciiTheme="majorHAnsi" w:hAnsiTheme="majorHAnsi"/>
        </w:rPr>
        <w:t>10</w:t>
      </w:r>
      <w:r w:rsidR="00AB5096" w:rsidRPr="006C46AB">
        <w:rPr>
          <w:rFonts w:asciiTheme="majorHAnsi" w:hAnsiTheme="majorHAnsi"/>
        </w:rPr>
        <w:t>%)</w:t>
      </w:r>
      <w:r w:rsidR="00107DEB" w:rsidRPr="006C46AB">
        <w:rPr>
          <w:rFonts w:asciiTheme="majorHAnsi" w:hAnsiTheme="majorHAnsi"/>
        </w:rPr>
        <w:t xml:space="preserve"> had a Watson score of 1, 6</w:t>
      </w:r>
      <w:r w:rsidR="00AB5096" w:rsidRPr="006C46AB">
        <w:rPr>
          <w:rFonts w:asciiTheme="majorHAnsi" w:hAnsiTheme="majorHAnsi"/>
        </w:rPr>
        <w:t xml:space="preserve"> (</w:t>
      </w:r>
      <w:r w:rsidR="00107DEB" w:rsidRPr="006C46AB">
        <w:rPr>
          <w:rFonts w:asciiTheme="majorHAnsi" w:hAnsiTheme="majorHAnsi"/>
        </w:rPr>
        <w:t>15</w:t>
      </w:r>
      <w:r w:rsidR="00AB5096" w:rsidRPr="006C46AB">
        <w:rPr>
          <w:rFonts w:asciiTheme="majorHAnsi" w:hAnsiTheme="majorHAnsi"/>
        </w:rPr>
        <w:t>%)</w:t>
      </w:r>
      <w:r w:rsidR="007C47D7" w:rsidRPr="006C46AB">
        <w:rPr>
          <w:rFonts w:asciiTheme="majorHAnsi" w:hAnsiTheme="majorHAnsi"/>
        </w:rPr>
        <w:t xml:space="preserve"> scored 2, and </w:t>
      </w:r>
      <w:r w:rsidR="00107DEB" w:rsidRPr="006C46AB">
        <w:rPr>
          <w:rFonts w:asciiTheme="majorHAnsi" w:hAnsiTheme="majorHAnsi"/>
        </w:rPr>
        <w:t>31</w:t>
      </w:r>
      <w:r w:rsidR="00AB5096" w:rsidRPr="006C46AB">
        <w:rPr>
          <w:rFonts w:asciiTheme="majorHAnsi" w:hAnsiTheme="majorHAnsi"/>
        </w:rPr>
        <w:t xml:space="preserve"> (</w:t>
      </w:r>
      <w:r w:rsidR="00107DEB" w:rsidRPr="006C46AB">
        <w:rPr>
          <w:rFonts w:asciiTheme="majorHAnsi" w:hAnsiTheme="majorHAnsi"/>
        </w:rPr>
        <w:t>76</w:t>
      </w:r>
      <w:r w:rsidR="00AB5096" w:rsidRPr="006C46AB">
        <w:rPr>
          <w:rFonts w:asciiTheme="majorHAnsi" w:hAnsiTheme="majorHAnsi"/>
        </w:rPr>
        <w:t>%)</w:t>
      </w:r>
      <w:r w:rsidR="007C47D7" w:rsidRPr="006C46AB">
        <w:rPr>
          <w:rFonts w:asciiTheme="majorHAnsi" w:hAnsiTheme="majorHAnsi"/>
        </w:rPr>
        <w:t xml:space="preserve"> had a Watson score of 3 (</w:t>
      </w:r>
      <w:r w:rsidR="007C47D7" w:rsidRPr="006C46AB">
        <w:rPr>
          <w:rFonts w:asciiTheme="majorHAnsi" w:hAnsiTheme="majorHAnsi"/>
          <w:i/>
        </w:rPr>
        <w:t>P</w:t>
      </w:r>
      <w:r w:rsidR="007C47D7" w:rsidRPr="006C46AB">
        <w:rPr>
          <w:rFonts w:asciiTheme="majorHAnsi" w:hAnsiTheme="majorHAnsi"/>
        </w:rPr>
        <w:t>&lt;0.0001</w:t>
      </w:r>
      <w:r w:rsidR="00E87A37" w:rsidRPr="006C46AB">
        <w:rPr>
          <w:rFonts w:asciiTheme="majorHAnsi" w:hAnsiTheme="majorHAnsi"/>
        </w:rPr>
        <w:t xml:space="preserve"> for the difference between Zambian and German scores</w:t>
      </w:r>
      <w:r w:rsidR="007C47D7" w:rsidRPr="006C46AB">
        <w:rPr>
          <w:rFonts w:asciiTheme="majorHAnsi" w:hAnsiTheme="majorHAnsi"/>
        </w:rPr>
        <w:t xml:space="preserve">). All the confocal endomicroscopy appearances were very highly correlated </w:t>
      </w:r>
      <w:r w:rsidR="00107DEB" w:rsidRPr="006C46AB">
        <w:rPr>
          <w:rFonts w:asciiTheme="majorHAnsi" w:hAnsiTheme="majorHAnsi"/>
        </w:rPr>
        <w:t xml:space="preserve">with each other </w:t>
      </w:r>
      <w:r w:rsidR="007C47D7" w:rsidRPr="006C46AB">
        <w:rPr>
          <w:rFonts w:asciiTheme="majorHAnsi" w:hAnsiTheme="majorHAnsi"/>
        </w:rPr>
        <w:t>(</w:t>
      </w:r>
      <w:r w:rsidR="002C4A20" w:rsidRPr="006C46AB">
        <w:rPr>
          <w:rFonts w:asciiTheme="majorHAnsi" w:hAnsiTheme="majorHAnsi"/>
        </w:rPr>
        <w:t xml:space="preserve">Table </w:t>
      </w:r>
      <w:r w:rsidR="000E5606" w:rsidRPr="006C46AB">
        <w:rPr>
          <w:rFonts w:asciiTheme="majorHAnsi" w:hAnsiTheme="majorHAnsi"/>
        </w:rPr>
        <w:t>S</w:t>
      </w:r>
      <w:r w:rsidR="002C4A20" w:rsidRPr="006C46AB">
        <w:rPr>
          <w:rFonts w:asciiTheme="majorHAnsi" w:hAnsiTheme="majorHAnsi"/>
        </w:rPr>
        <w:t>1</w:t>
      </w:r>
      <w:r w:rsidR="007C47D7" w:rsidRPr="006C46AB">
        <w:rPr>
          <w:rFonts w:asciiTheme="majorHAnsi" w:hAnsiTheme="majorHAnsi"/>
        </w:rPr>
        <w:t xml:space="preserve">). </w:t>
      </w:r>
      <w:r w:rsidRPr="006C46AB">
        <w:rPr>
          <w:rFonts w:asciiTheme="majorHAnsi" w:hAnsiTheme="majorHAnsi"/>
        </w:rPr>
        <w:t>The identification of plumes always led to detectable luminal fluorescein, but the converse was not true</w:t>
      </w:r>
      <w:r w:rsidR="006E70E1" w:rsidRPr="006C46AB">
        <w:rPr>
          <w:rFonts w:asciiTheme="majorHAnsi" w:hAnsiTheme="majorHAnsi"/>
        </w:rPr>
        <w:t>,</w:t>
      </w:r>
      <w:r w:rsidRPr="006C46AB">
        <w:rPr>
          <w:rFonts w:asciiTheme="majorHAnsi" w:hAnsiTheme="majorHAnsi"/>
        </w:rPr>
        <w:t xml:space="preserve"> suggesting that when the rate of leakage is high the luminal fluorescein obscures plumes which </w:t>
      </w:r>
      <w:r w:rsidR="00084B17" w:rsidRPr="006C46AB">
        <w:rPr>
          <w:rFonts w:asciiTheme="majorHAnsi" w:hAnsiTheme="majorHAnsi"/>
        </w:rPr>
        <w:t>are only</w:t>
      </w:r>
      <w:r w:rsidRPr="006C46AB">
        <w:rPr>
          <w:rFonts w:asciiTheme="majorHAnsi" w:hAnsiTheme="majorHAnsi"/>
        </w:rPr>
        <w:t xml:space="preserve"> visible</w:t>
      </w:r>
      <w:r w:rsidR="00084B17" w:rsidRPr="006C46AB">
        <w:rPr>
          <w:rFonts w:asciiTheme="majorHAnsi" w:hAnsiTheme="majorHAnsi"/>
        </w:rPr>
        <w:t xml:space="preserve"> against a dark lumen</w:t>
      </w:r>
      <w:r w:rsidR="00E476BD" w:rsidRPr="006C46AB">
        <w:rPr>
          <w:rFonts w:asciiTheme="majorHAnsi" w:hAnsiTheme="majorHAnsi"/>
        </w:rPr>
        <w:t xml:space="preserve"> background</w:t>
      </w:r>
      <w:r w:rsidRPr="006C46AB">
        <w:rPr>
          <w:rFonts w:asciiTheme="majorHAnsi" w:hAnsiTheme="majorHAnsi"/>
        </w:rPr>
        <w:t xml:space="preserve">. </w:t>
      </w:r>
      <w:r w:rsidR="00AC61BC" w:rsidRPr="006C46AB">
        <w:rPr>
          <w:rFonts w:asciiTheme="majorHAnsi" w:hAnsiTheme="majorHAnsi"/>
        </w:rPr>
        <w:t xml:space="preserve">While erosions and single cell defects were invariably associated with fluorescein leakage into the lumen, a large proportion of leakage occurred in the absence of visible epithelial lesions </w:t>
      </w:r>
      <w:r w:rsidR="00E476BD" w:rsidRPr="006C46AB">
        <w:rPr>
          <w:rFonts w:asciiTheme="majorHAnsi" w:hAnsiTheme="majorHAnsi"/>
        </w:rPr>
        <w:t xml:space="preserve">in the optical sections obtained at CLE </w:t>
      </w:r>
      <w:r w:rsidR="00AC61BC" w:rsidRPr="006C46AB">
        <w:rPr>
          <w:rFonts w:asciiTheme="majorHAnsi" w:hAnsiTheme="majorHAnsi"/>
        </w:rPr>
        <w:t>(Figure</w:t>
      </w:r>
      <w:r w:rsidR="002C4A20" w:rsidRPr="006C46AB">
        <w:rPr>
          <w:rFonts w:asciiTheme="majorHAnsi" w:hAnsiTheme="majorHAnsi"/>
        </w:rPr>
        <w:t xml:space="preserve"> </w:t>
      </w:r>
      <w:r w:rsidR="000E5606" w:rsidRPr="006C46AB">
        <w:rPr>
          <w:rFonts w:asciiTheme="majorHAnsi" w:hAnsiTheme="majorHAnsi"/>
        </w:rPr>
        <w:t>S</w:t>
      </w:r>
      <w:r w:rsidR="002C4A20" w:rsidRPr="006C46AB">
        <w:rPr>
          <w:rFonts w:asciiTheme="majorHAnsi" w:hAnsiTheme="majorHAnsi"/>
        </w:rPr>
        <w:t>1</w:t>
      </w:r>
      <w:r w:rsidR="00AC61BC" w:rsidRPr="006C46AB">
        <w:rPr>
          <w:rFonts w:asciiTheme="majorHAnsi" w:hAnsiTheme="majorHAnsi"/>
        </w:rPr>
        <w:t xml:space="preserve">). </w:t>
      </w:r>
      <w:r w:rsidR="0007509D" w:rsidRPr="006C46AB">
        <w:rPr>
          <w:rFonts w:asciiTheme="majorHAnsi" w:hAnsiTheme="majorHAnsi"/>
        </w:rPr>
        <w:t>This is likely to be due to epithelial lesions outside the optical plane of the CLE images</w:t>
      </w:r>
      <w:r w:rsidR="00370879" w:rsidRPr="006C46AB">
        <w:rPr>
          <w:rFonts w:asciiTheme="majorHAnsi" w:hAnsiTheme="majorHAnsi"/>
        </w:rPr>
        <w:t>, but may also be due to disorganised tight junction proteins</w:t>
      </w:r>
      <w:r w:rsidR="00A41376" w:rsidRPr="006C46AB">
        <w:rPr>
          <w:rFonts w:asciiTheme="majorHAnsi" w:hAnsiTheme="majorHAnsi"/>
        </w:rPr>
        <w:t xml:space="preserve"> even in the absence of a break in the epithelium</w:t>
      </w:r>
      <w:r w:rsidR="0007509D" w:rsidRPr="006C46AB">
        <w:rPr>
          <w:rFonts w:asciiTheme="majorHAnsi" w:hAnsiTheme="majorHAnsi"/>
        </w:rPr>
        <w:t>.</w:t>
      </w:r>
      <w:r w:rsidR="0007203C" w:rsidRPr="006C46AB">
        <w:rPr>
          <w:rFonts w:asciiTheme="majorHAnsi" w:hAnsiTheme="majorHAnsi"/>
        </w:rPr>
        <w:t xml:space="preserve"> </w:t>
      </w:r>
      <w:r w:rsidR="00CF301D" w:rsidRPr="006C46AB">
        <w:rPr>
          <w:rFonts w:asciiTheme="majorHAnsi" w:hAnsiTheme="majorHAnsi"/>
        </w:rPr>
        <w:t xml:space="preserve">Of the </w:t>
      </w:r>
      <w:r w:rsidR="00B20FD7" w:rsidRPr="006C46AB">
        <w:rPr>
          <w:rFonts w:asciiTheme="majorHAnsi" w:hAnsiTheme="majorHAnsi"/>
        </w:rPr>
        <w:t>biomarkers and risk factors</w:t>
      </w:r>
      <w:r w:rsidR="00CF301D" w:rsidRPr="006C46AB">
        <w:rPr>
          <w:rFonts w:asciiTheme="majorHAnsi" w:hAnsiTheme="majorHAnsi"/>
        </w:rPr>
        <w:t xml:space="preserve"> listed in Table 2, only FABP was correlated with plumes (Fig S2).</w:t>
      </w:r>
    </w:p>
    <w:p w14:paraId="77881866" w14:textId="77777777" w:rsidR="003123FC" w:rsidRPr="006C46AB" w:rsidRDefault="003123FC" w:rsidP="0025423E">
      <w:pPr>
        <w:widowControl w:val="0"/>
        <w:spacing w:line="360" w:lineRule="auto"/>
        <w:rPr>
          <w:rFonts w:asciiTheme="majorHAnsi" w:hAnsiTheme="majorHAnsi"/>
        </w:rPr>
      </w:pPr>
    </w:p>
    <w:p w14:paraId="47E3CB5A" w14:textId="49B7072A" w:rsidR="00FC7600" w:rsidRPr="006C46AB" w:rsidRDefault="00FC7600" w:rsidP="00FC7600">
      <w:pPr>
        <w:widowControl w:val="0"/>
        <w:spacing w:line="360" w:lineRule="auto"/>
        <w:rPr>
          <w:rFonts w:asciiTheme="majorHAnsi" w:hAnsiTheme="majorHAnsi"/>
        </w:rPr>
      </w:pPr>
      <w:r w:rsidRPr="006C46AB">
        <w:rPr>
          <w:rFonts w:asciiTheme="majorHAnsi" w:hAnsiTheme="majorHAnsi"/>
          <w:b/>
        </w:rPr>
        <w:t>Figure 1</w:t>
      </w:r>
      <w:r w:rsidRPr="006C46AB">
        <w:rPr>
          <w:rFonts w:asciiTheme="majorHAnsi" w:hAnsiTheme="majorHAnsi"/>
        </w:rPr>
        <w:t xml:space="preserve"> Confocal laser endomicroscopy images of (A) normal villous epithelium showing black, fluorescein-free lumen (arrow); (B) a plume of fluorescein (arrow) seen against a dark lumen; (C) fluorescein filling the lumen (thin arrow), a </w:t>
      </w:r>
      <w:proofErr w:type="spellStart"/>
      <w:r w:rsidRPr="006C46AB">
        <w:rPr>
          <w:rFonts w:asciiTheme="majorHAnsi" w:hAnsiTheme="majorHAnsi"/>
        </w:rPr>
        <w:t>microerosion</w:t>
      </w:r>
      <w:proofErr w:type="spellEnd"/>
      <w:r w:rsidRPr="006C46AB">
        <w:rPr>
          <w:rFonts w:asciiTheme="majorHAnsi" w:hAnsiTheme="majorHAnsi"/>
        </w:rPr>
        <w:t xml:space="preserve"> (thick arrow) and a breach at a villus tip (hollow arrow); (D) single cell defect with fluorescein plume (arrow), (E) example of a multiple cell defect, a small </w:t>
      </w:r>
      <w:proofErr w:type="spellStart"/>
      <w:r w:rsidRPr="006C46AB">
        <w:rPr>
          <w:rFonts w:asciiTheme="majorHAnsi" w:hAnsiTheme="majorHAnsi"/>
        </w:rPr>
        <w:t>microerosion</w:t>
      </w:r>
      <w:proofErr w:type="spellEnd"/>
      <w:r w:rsidRPr="006C46AB">
        <w:rPr>
          <w:rFonts w:asciiTheme="majorHAnsi" w:hAnsiTheme="majorHAnsi"/>
        </w:rPr>
        <w:t xml:space="preserve"> where two cells are seen to have detached from the basement membrane (arrow), and (F) total breakdown of epithelial contiguity (arrows). </w:t>
      </w:r>
    </w:p>
    <w:p w14:paraId="6527EE09" w14:textId="77777777" w:rsidR="00FC7600" w:rsidRPr="006C46AB" w:rsidRDefault="00FC7600" w:rsidP="0025423E">
      <w:pPr>
        <w:widowControl w:val="0"/>
        <w:spacing w:line="360" w:lineRule="auto"/>
        <w:rPr>
          <w:rFonts w:asciiTheme="majorHAnsi" w:hAnsiTheme="majorHAnsi"/>
        </w:rPr>
      </w:pPr>
    </w:p>
    <w:p w14:paraId="56834639" w14:textId="6C149E73" w:rsidR="007C47D7" w:rsidRPr="006C46AB" w:rsidRDefault="007C47D7" w:rsidP="0025423E">
      <w:pPr>
        <w:widowControl w:val="0"/>
        <w:spacing w:line="360" w:lineRule="auto"/>
        <w:rPr>
          <w:rFonts w:asciiTheme="majorHAnsi" w:hAnsiTheme="majorHAnsi"/>
          <w:i/>
        </w:rPr>
      </w:pPr>
      <w:proofErr w:type="spellStart"/>
      <w:r w:rsidRPr="006C46AB">
        <w:rPr>
          <w:rFonts w:asciiTheme="majorHAnsi" w:hAnsiTheme="majorHAnsi"/>
          <w:i/>
        </w:rPr>
        <w:t>Morphometry</w:t>
      </w:r>
      <w:proofErr w:type="spellEnd"/>
    </w:p>
    <w:p w14:paraId="1241902B" w14:textId="6D96697D" w:rsidR="0026598C" w:rsidRPr="006C46AB" w:rsidRDefault="004A05DB" w:rsidP="0025423E">
      <w:pPr>
        <w:widowControl w:val="0"/>
        <w:spacing w:line="360" w:lineRule="auto"/>
        <w:rPr>
          <w:rFonts w:asciiTheme="majorHAnsi" w:hAnsiTheme="majorHAnsi"/>
        </w:rPr>
      </w:pPr>
      <w:r w:rsidRPr="006C46AB">
        <w:rPr>
          <w:rFonts w:asciiTheme="majorHAnsi" w:hAnsiTheme="majorHAnsi"/>
        </w:rPr>
        <w:t>Villous blunting and crypt lengthening were seen in all biopsies, and no biopsies had a V</w:t>
      </w:r>
      <w:r w:rsidR="00B22B7A" w:rsidRPr="006C46AB">
        <w:rPr>
          <w:rFonts w:asciiTheme="majorHAnsi" w:hAnsiTheme="majorHAnsi"/>
        </w:rPr>
        <w:t xml:space="preserve">illus </w:t>
      </w:r>
      <w:proofErr w:type="spellStart"/>
      <w:r w:rsidRPr="006C46AB">
        <w:rPr>
          <w:rFonts w:asciiTheme="majorHAnsi" w:hAnsiTheme="majorHAnsi"/>
        </w:rPr>
        <w:t>H</w:t>
      </w:r>
      <w:r w:rsidR="00B22B7A" w:rsidRPr="006C46AB">
        <w:rPr>
          <w:rFonts w:asciiTheme="majorHAnsi" w:hAnsiTheme="majorHAnsi"/>
        </w:rPr>
        <w:t>eight</w:t>
      </w:r>
      <w:r w:rsidRPr="006C46AB">
        <w:rPr>
          <w:rFonts w:asciiTheme="majorHAnsi" w:hAnsiTheme="majorHAnsi"/>
        </w:rPr>
        <w:t>:C</w:t>
      </w:r>
      <w:r w:rsidR="00B22B7A" w:rsidRPr="006C46AB">
        <w:rPr>
          <w:rFonts w:asciiTheme="majorHAnsi" w:hAnsiTheme="majorHAnsi"/>
        </w:rPr>
        <w:t>rypt</w:t>
      </w:r>
      <w:proofErr w:type="spellEnd"/>
      <w:r w:rsidR="00B22B7A" w:rsidRPr="006C46AB">
        <w:rPr>
          <w:rFonts w:asciiTheme="majorHAnsi" w:hAnsiTheme="majorHAnsi"/>
        </w:rPr>
        <w:t xml:space="preserve"> </w:t>
      </w:r>
      <w:r w:rsidRPr="006C46AB">
        <w:rPr>
          <w:rFonts w:asciiTheme="majorHAnsi" w:hAnsiTheme="majorHAnsi"/>
        </w:rPr>
        <w:t>D</w:t>
      </w:r>
      <w:r w:rsidR="00B22B7A" w:rsidRPr="006C46AB">
        <w:rPr>
          <w:rFonts w:asciiTheme="majorHAnsi" w:hAnsiTheme="majorHAnsi"/>
        </w:rPr>
        <w:t>epth</w:t>
      </w:r>
      <w:r w:rsidRPr="006C46AB">
        <w:rPr>
          <w:rFonts w:asciiTheme="majorHAnsi" w:hAnsiTheme="majorHAnsi"/>
        </w:rPr>
        <w:t xml:space="preserve"> ra</w:t>
      </w:r>
      <w:r w:rsidR="002C4A20" w:rsidRPr="006C46AB">
        <w:rPr>
          <w:rFonts w:asciiTheme="majorHAnsi" w:hAnsiTheme="majorHAnsi"/>
        </w:rPr>
        <w:t>tio of greater than 2.2</w:t>
      </w:r>
      <w:r w:rsidR="0004543D" w:rsidRPr="006C46AB">
        <w:rPr>
          <w:rFonts w:asciiTheme="majorHAnsi" w:hAnsiTheme="majorHAnsi"/>
        </w:rPr>
        <w:t>:1</w:t>
      </w:r>
      <w:r w:rsidR="002C4A20" w:rsidRPr="006C46AB">
        <w:rPr>
          <w:rFonts w:asciiTheme="majorHAnsi" w:hAnsiTheme="majorHAnsi"/>
        </w:rPr>
        <w:t xml:space="preserve"> (Table 2</w:t>
      </w:r>
      <w:r w:rsidRPr="006C46AB">
        <w:rPr>
          <w:rFonts w:asciiTheme="majorHAnsi" w:hAnsiTheme="majorHAnsi"/>
        </w:rPr>
        <w:t>)</w:t>
      </w:r>
      <w:r w:rsidR="00E46D5B" w:rsidRPr="006C46AB">
        <w:rPr>
          <w:rFonts w:asciiTheme="majorHAnsi" w:hAnsiTheme="majorHAnsi"/>
        </w:rPr>
        <w:t xml:space="preserve"> compared to </w:t>
      </w:r>
      <w:r w:rsidR="005236EE" w:rsidRPr="006C46AB">
        <w:rPr>
          <w:rFonts w:asciiTheme="majorHAnsi" w:hAnsiTheme="majorHAnsi"/>
        </w:rPr>
        <w:t>a normal ratio of 3:1</w:t>
      </w:r>
      <w:r w:rsidR="00BC7949" w:rsidRPr="006C46AB">
        <w:rPr>
          <w:rFonts w:asciiTheme="majorHAnsi" w:hAnsiTheme="majorHAnsi"/>
        </w:rPr>
        <w:t xml:space="preserve"> or more</w:t>
      </w:r>
      <w:r w:rsidR="005236EE" w:rsidRPr="006C46AB">
        <w:rPr>
          <w:rFonts w:asciiTheme="majorHAnsi" w:hAnsiTheme="majorHAnsi"/>
          <w:vertAlign w:val="superscript"/>
        </w:rPr>
        <w:t>3</w:t>
      </w:r>
      <w:r w:rsidR="00251E14" w:rsidRPr="006C46AB">
        <w:rPr>
          <w:rFonts w:asciiTheme="majorHAnsi" w:hAnsiTheme="majorHAnsi"/>
          <w:vertAlign w:val="superscript"/>
        </w:rPr>
        <w:t>1</w:t>
      </w:r>
      <w:r w:rsidRPr="006C46AB">
        <w:rPr>
          <w:rFonts w:asciiTheme="majorHAnsi" w:hAnsiTheme="majorHAnsi"/>
        </w:rPr>
        <w:t xml:space="preserve">. </w:t>
      </w:r>
      <w:r w:rsidR="00F01887" w:rsidRPr="006C46AB">
        <w:rPr>
          <w:rFonts w:asciiTheme="majorHAnsi" w:hAnsiTheme="majorHAnsi"/>
        </w:rPr>
        <w:t xml:space="preserve">All biopsies showed lamina </w:t>
      </w:r>
      <w:proofErr w:type="spellStart"/>
      <w:r w:rsidR="00F01887" w:rsidRPr="006C46AB">
        <w:rPr>
          <w:rFonts w:asciiTheme="majorHAnsi" w:hAnsiTheme="majorHAnsi"/>
        </w:rPr>
        <w:t>propria</w:t>
      </w:r>
      <w:proofErr w:type="spellEnd"/>
      <w:r w:rsidR="00F01887" w:rsidRPr="006C46AB">
        <w:rPr>
          <w:rFonts w:asciiTheme="majorHAnsi" w:hAnsiTheme="majorHAnsi"/>
        </w:rPr>
        <w:t xml:space="preserve"> inflammation. </w:t>
      </w:r>
      <w:r w:rsidRPr="006C46AB">
        <w:rPr>
          <w:rFonts w:asciiTheme="majorHAnsi" w:hAnsiTheme="majorHAnsi"/>
        </w:rPr>
        <w:t>No significant difference</w:t>
      </w:r>
      <w:r w:rsidR="00702D56" w:rsidRPr="006C46AB">
        <w:rPr>
          <w:rFonts w:asciiTheme="majorHAnsi" w:hAnsiTheme="majorHAnsi"/>
        </w:rPr>
        <w:t>s</w:t>
      </w:r>
      <w:r w:rsidRPr="006C46AB">
        <w:rPr>
          <w:rFonts w:asciiTheme="majorHAnsi" w:hAnsiTheme="majorHAnsi"/>
        </w:rPr>
        <w:t xml:space="preserve"> were seen between HIV infected and uninfected </w:t>
      </w:r>
      <w:r w:rsidR="00702D56" w:rsidRPr="006C46AB">
        <w:rPr>
          <w:rFonts w:asciiTheme="majorHAnsi" w:hAnsiTheme="majorHAnsi"/>
        </w:rPr>
        <w:t xml:space="preserve">individuals’ </w:t>
      </w:r>
      <w:r w:rsidRPr="006C46AB">
        <w:rPr>
          <w:rFonts w:asciiTheme="majorHAnsi" w:hAnsiTheme="majorHAnsi"/>
        </w:rPr>
        <w:t>biopsies</w:t>
      </w:r>
      <w:r w:rsidR="0026598C" w:rsidRPr="006C46AB">
        <w:rPr>
          <w:rFonts w:asciiTheme="majorHAnsi" w:hAnsiTheme="majorHAnsi"/>
        </w:rPr>
        <w:t>, with the exception of surface area (represented by villus perimeter). Villus height and crypt depth were positively correlated (</w:t>
      </w:r>
      <w:r w:rsidR="0026598C" w:rsidRPr="006C46AB">
        <w:rPr>
          <w:rFonts w:ascii="Symbol" w:hAnsi="Symbol"/>
        </w:rPr>
        <w:t></w:t>
      </w:r>
      <w:r w:rsidR="0026598C" w:rsidRPr="006C46AB">
        <w:rPr>
          <w:rFonts w:asciiTheme="majorHAnsi" w:hAnsiTheme="majorHAnsi"/>
        </w:rPr>
        <w:t xml:space="preserve"> = 0.49; </w:t>
      </w:r>
      <w:r w:rsidR="0026598C" w:rsidRPr="006C46AB">
        <w:rPr>
          <w:rFonts w:asciiTheme="majorHAnsi" w:hAnsiTheme="majorHAnsi"/>
          <w:i/>
        </w:rPr>
        <w:t>P</w:t>
      </w:r>
      <w:r w:rsidR="002E0392" w:rsidRPr="006C46AB">
        <w:rPr>
          <w:rFonts w:asciiTheme="majorHAnsi" w:hAnsiTheme="majorHAnsi"/>
        </w:rPr>
        <w:t>=0.01</w:t>
      </w:r>
      <w:r w:rsidR="0026598C" w:rsidRPr="006C46AB">
        <w:rPr>
          <w:rFonts w:asciiTheme="majorHAnsi" w:hAnsiTheme="majorHAnsi"/>
        </w:rPr>
        <w:t xml:space="preserve">). Epithelial </w:t>
      </w:r>
      <w:r w:rsidR="00FC7600" w:rsidRPr="006C46AB">
        <w:rPr>
          <w:rFonts w:asciiTheme="majorHAnsi" w:hAnsiTheme="majorHAnsi"/>
        </w:rPr>
        <w:t>defects</w:t>
      </w:r>
      <w:r w:rsidR="0026598C" w:rsidRPr="006C46AB">
        <w:rPr>
          <w:rFonts w:asciiTheme="majorHAnsi" w:hAnsiTheme="majorHAnsi"/>
        </w:rPr>
        <w:t xml:space="preserve"> were common</w:t>
      </w:r>
      <w:r w:rsidR="00BC7949" w:rsidRPr="006C46AB">
        <w:rPr>
          <w:rFonts w:asciiTheme="majorHAnsi" w:hAnsiTheme="majorHAnsi"/>
        </w:rPr>
        <w:t xml:space="preserve"> (Figure 2</w:t>
      </w:r>
      <w:r w:rsidR="00471D45" w:rsidRPr="006C46AB">
        <w:rPr>
          <w:rFonts w:asciiTheme="majorHAnsi" w:hAnsiTheme="majorHAnsi"/>
        </w:rPr>
        <w:t xml:space="preserve">, </w:t>
      </w:r>
      <w:r w:rsidR="002C4A20" w:rsidRPr="006C46AB">
        <w:rPr>
          <w:rFonts w:asciiTheme="majorHAnsi" w:hAnsiTheme="majorHAnsi"/>
        </w:rPr>
        <w:t>Table 2</w:t>
      </w:r>
      <w:r w:rsidR="0026598C" w:rsidRPr="006C46AB">
        <w:rPr>
          <w:rFonts w:asciiTheme="majorHAnsi" w:hAnsiTheme="majorHAnsi"/>
        </w:rPr>
        <w:t xml:space="preserve">). Some of the defects </w:t>
      </w:r>
      <w:r w:rsidR="00446D87" w:rsidRPr="006C46AB">
        <w:rPr>
          <w:rFonts w:asciiTheme="majorHAnsi" w:hAnsiTheme="majorHAnsi"/>
        </w:rPr>
        <w:t xml:space="preserve">seen by histology </w:t>
      </w:r>
      <w:r w:rsidR="0026598C" w:rsidRPr="006C46AB">
        <w:rPr>
          <w:rFonts w:asciiTheme="majorHAnsi" w:hAnsiTheme="majorHAnsi"/>
        </w:rPr>
        <w:t>were surprisingly large (Figure</w:t>
      </w:r>
      <w:r w:rsidR="002C4A20" w:rsidRPr="006C46AB">
        <w:rPr>
          <w:rFonts w:asciiTheme="majorHAnsi" w:hAnsiTheme="majorHAnsi"/>
        </w:rPr>
        <w:t xml:space="preserve"> 2</w:t>
      </w:r>
      <w:r w:rsidR="0004543D" w:rsidRPr="006C46AB">
        <w:rPr>
          <w:rFonts w:asciiTheme="majorHAnsi" w:hAnsiTheme="majorHAnsi"/>
        </w:rPr>
        <w:t xml:space="preserve">C and </w:t>
      </w:r>
      <w:r w:rsidR="00C75D08" w:rsidRPr="006C46AB">
        <w:rPr>
          <w:rFonts w:asciiTheme="majorHAnsi" w:hAnsiTheme="majorHAnsi"/>
        </w:rPr>
        <w:t>F</w:t>
      </w:r>
      <w:r w:rsidR="0007509D" w:rsidRPr="006C46AB">
        <w:rPr>
          <w:rFonts w:asciiTheme="majorHAnsi" w:hAnsiTheme="majorHAnsi"/>
        </w:rPr>
        <w:t xml:space="preserve">igure </w:t>
      </w:r>
      <w:r w:rsidR="00C75D08" w:rsidRPr="006C46AB">
        <w:rPr>
          <w:rFonts w:asciiTheme="majorHAnsi" w:hAnsiTheme="majorHAnsi"/>
        </w:rPr>
        <w:t>S</w:t>
      </w:r>
      <w:r w:rsidR="00CF301D" w:rsidRPr="006C46AB">
        <w:rPr>
          <w:rFonts w:asciiTheme="majorHAnsi" w:hAnsiTheme="majorHAnsi"/>
        </w:rPr>
        <w:t>3</w:t>
      </w:r>
      <w:r w:rsidR="0026598C" w:rsidRPr="006C46AB">
        <w:rPr>
          <w:rFonts w:asciiTheme="majorHAnsi" w:hAnsiTheme="majorHAnsi"/>
        </w:rPr>
        <w:t xml:space="preserve">), but comparison with confocal images obtained </w:t>
      </w:r>
      <w:r w:rsidR="0026598C" w:rsidRPr="006C46AB">
        <w:rPr>
          <w:rFonts w:asciiTheme="majorHAnsi" w:hAnsiTheme="majorHAnsi"/>
          <w:i/>
        </w:rPr>
        <w:t>in vivo</w:t>
      </w:r>
      <w:r w:rsidR="0026598C" w:rsidRPr="006C46AB">
        <w:rPr>
          <w:rFonts w:asciiTheme="majorHAnsi" w:hAnsiTheme="majorHAnsi"/>
        </w:rPr>
        <w:t xml:space="preserve"> suggested that these </w:t>
      </w:r>
      <w:r w:rsidR="00B20FD7" w:rsidRPr="006C46AB">
        <w:rPr>
          <w:rFonts w:asciiTheme="majorHAnsi" w:hAnsiTheme="majorHAnsi"/>
        </w:rPr>
        <w:t>defects</w:t>
      </w:r>
      <w:r w:rsidR="0026598C" w:rsidRPr="006C46AB">
        <w:rPr>
          <w:rFonts w:asciiTheme="majorHAnsi" w:hAnsiTheme="majorHAnsi"/>
        </w:rPr>
        <w:t xml:space="preserve"> were present before the biopsy was collected (Figure</w:t>
      </w:r>
      <w:r w:rsidR="00A70F34" w:rsidRPr="006C46AB">
        <w:rPr>
          <w:rFonts w:asciiTheme="majorHAnsi" w:hAnsiTheme="majorHAnsi"/>
        </w:rPr>
        <w:t xml:space="preserve"> </w:t>
      </w:r>
      <w:r w:rsidR="002C4A20" w:rsidRPr="006C46AB">
        <w:rPr>
          <w:rFonts w:asciiTheme="majorHAnsi" w:hAnsiTheme="majorHAnsi"/>
        </w:rPr>
        <w:t>2</w:t>
      </w:r>
      <w:r w:rsidR="00B22B7A" w:rsidRPr="006C46AB">
        <w:rPr>
          <w:rFonts w:asciiTheme="majorHAnsi" w:hAnsiTheme="majorHAnsi"/>
        </w:rPr>
        <w:t xml:space="preserve"> A, D</w:t>
      </w:r>
      <w:r w:rsidR="0004543D" w:rsidRPr="006C46AB">
        <w:rPr>
          <w:rFonts w:asciiTheme="majorHAnsi" w:hAnsiTheme="majorHAnsi"/>
        </w:rPr>
        <w:t xml:space="preserve">, </w:t>
      </w:r>
      <w:r w:rsidR="00C75D08" w:rsidRPr="006C46AB">
        <w:rPr>
          <w:rFonts w:asciiTheme="majorHAnsi" w:hAnsiTheme="majorHAnsi"/>
        </w:rPr>
        <w:t>F</w:t>
      </w:r>
      <w:r w:rsidR="0004543D" w:rsidRPr="006C46AB">
        <w:rPr>
          <w:rFonts w:asciiTheme="majorHAnsi" w:hAnsiTheme="majorHAnsi"/>
        </w:rPr>
        <w:t xml:space="preserve">igure </w:t>
      </w:r>
      <w:r w:rsidR="00CF301D" w:rsidRPr="006C46AB">
        <w:rPr>
          <w:rFonts w:asciiTheme="majorHAnsi" w:hAnsiTheme="majorHAnsi"/>
        </w:rPr>
        <w:t>S4</w:t>
      </w:r>
      <w:r w:rsidR="0004543D" w:rsidRPr="006C46AB">
        <w:rPr>
          <w:rFonts w:asciiTheme="majorHAnsi" w:hAnsiTheme="majorHAnsi"/>
        </w:rPr>
        <w:t xml:space="preserve"> A, D</w:t>
      </w:r>
      <w:r w:rsidR="0026598C" w:rsidRPr="006C46AB">
        <w:rPr>
          <w:rFonts w:asciiTheme="majorHAnsi" w:hAnsiTheme="majorHAnsi"/>
        </w:rPr>
        <w:t>).</w:t>
      </w:r>
      <w:r w:rsidR="00A70F34" w:rsidRPr="006C46AB">
        <w:rPr>
          <w:rFonts w:asciiTheme="majorHAnsi" w:hAnsiTheme="majorHAnsi"/>
        </w:rPr>
        <w:t xml:space="preserve"> </w:t>
      </w:r>
    </w:p>
    <w:p w14:paraId="31DA61D8" w14:textId="77777777" w:rsidR="007C47D7" w:rsidRPr="006C46AB" w:rsidRDefault="007C47D7" w:rsidP="0025423E">
      <w:pPr>
        <w:widowControl w:val="0"/>
        <w:spacing w:line="360" w:lineRule="auto"/>
        <w:rPr>
          <w:rFonts w:asciiTheme="majorHAnsi" w:hAnsiTheme="majorHAnsi"/>
        </w:rPr>
      </w:pPr>
    </w:p>
    <w:p w14:paraId="74C50942" w14:textId="77777777" w:rsidR="00FC7600" w:rsidRPr="006C46AB" w:rsidRDefault="00FC7600" w:rsidP="00FC7600">
      <w:pPr>
        <w:widowControl w:val="0"/>
        <w:spacing w:line="360" w:lineRule="auto"/>
        <w:rPr>
          <w:rFonts w:asciiTheme="majorHAnsi" w:hAnsiTheme="majorHAnsi"/>
        </w:rPr>
      </w:pPr>
      <w:r w:rsidRPr="006C46AB">
        <w:rPr>
          <w:rFonts w:asciiTheme="majorHAnsi" w:hAnsiTheme="majorHAnsi"/>
          <w:b/>
        </w:rPr>
        <w:t>Table 2</w:t>
      </w:r>
      <w:r w:rsidRPr="006C46AB">
        <w:rPr>
          <w:rFonts w:asciiTheme="majorHAnsi" w:hAnsiTheme="majorHAnsi"/>
        </w:rPr>
        <w:t xml:space="preserve"> Biomarkers of translocation and intestinal integrity</w:t>
      </w:r>
    </w:p>
    <w:tbl>
      <w:tblPr>
        <w:tblStyle w:val="TableGrid"/>
        <w:tblW w:w="9039" w:type="dxa"/>
        <w:tblLayout w:type="fixed"/>
        <w:tblLook w:val="04A0" w:firstRow="1" w:lastRow="0" w:firstColumn="1" w:lastColumn="0" w:noHBand="0" w:noVBand="1"/>
      </w:tblPr>
      <w:tblGrid>
        <w:gridCol w:w="3652"/>
        <w:gridCol w:w="2268"/>
        <w:gridCol w:w="2268"/>
        <w:gridCol w:w="851"/>
      </w:tblGrid>
      <w:tr w:rsidR="00FC7600" w:rsidRPr="006C46AB" w14:paraId="355403E1" w14:textId="77777777" w:rsidTr="003961A5">
        <w:tc>
          <w:tcPr>
            <w:tcW w:w="3652" w:type="dxa"/>
          </w:tcPr>
          <w:p w14:paraId="460114E0" w14:textId="77777777" w:rsidR="00FC7600" w:rsidRPr="006C46AB" w:rsidRDefault="00FC7600" w:rsidP="003961A5">
            <w:pPr>
              <w:widowControl w:val="0"/>
              <w:spacing w:line="360" w:lineRule="auto"/>
              <w:rPr>
                <w:rFonts w:asciiTheme="majorHAnsi" w:hAnsiTheme="majorHAnsi"/>
              </w:rPr>
            </w:pPr>
          </w:p>
        </w:tc>
        <w:tc>
          <w:tcPr>
            <w:tcW w:w="2268" w:type="dxa"/>
          </w:tcPr>
          <w:p w14:paraId="328A9E6E"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HIV </w:t>
            </w:r>
            <w:proofErr w:type="spellStart"/>
            <w:r w:rsidRPr="006C46AB">
              <w:rPr>
                <w:rFonts w:asciiTheme="majorHAnsi" w:hAnsiTheme="majorHAnsi"/>
              </w:rPr>
              <w:t>seronegative</w:t>
            </w:r>
            <w:proofErr w:type="spellEnd"/>
          </w:p>
          <w:p w14:paraId="0AECBFA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(n=35)</w:t>
            </w:r>
          </w:p>
        </w:tc>
        <w:tc>
          <w:tcPr>
            <w:tcW w:w="2268" w:type="dxa"/>
          </w:tcPr>
          <w:p w14:paraId="3780128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HIV seropositive</w:t>
            </w:r>
          </w:p>
          <w:p w14:paraId="4754724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(n=14)</w:t>
            </w:r>
          </w:p>
        </w:tc>
        <w:tc>
          <w:tcPr>
            <w:tcW w:w="851" w:type="dxa"/>
          </w:tcPr>
          <w:p w14:paraId="0DB008F3" w14:textId="77777777" w:rsidR="00FC7600" w:rsidRPr="006C46AB" w:rsidRDefault="00FC7600" w:rsidP="003961A5">
            <w:pPr>
              <w:widowControl w:val="0"/>
              <w:spacing w:line="360" w:lineRule="auto"/>
              <w:rPr>
                <w:rFonts w:asciiTheme="majorHAnsi" w:hAnsiTheme="majorHAnsi"/>
                <w:i/>
              </w:rPr>
            </w:pPr>
            <w:r w:rsidRPr="006C46AB">
              <w:rPr>
                <w:rFonts w:asciiTheme="majorHAnsi" w:hAnsiTheme="majorHAnsi"/>
                <w:i/>
              </w:rPr>
              <w:t>P</w:t>
            </w:r>
          </w:p>
        </w:tc>
      </w:tr>
      <w:tr w:rsidR="00FC7600" w:rsidRPr="006C46AB" w14:paraId="082B3725" w14:textId="77777777" w:rsidTr="003961A5">
        <w:tc>
          <w:tcPr>
            <w:tcW w:w="9039" w:type="dxa"/>
            <w:gridSpan w:val="4"/>
          </w:tcPr>
          <w:p w14:paraId="7325B204" w14:textId="77777777" w:rsidR="00FC7600" w:rsidRPr="006C46AB" w:rsidRDefault="00FC7600" w:rsidP="003961A5">
            <w:pPr>
              <w:widowControl w:val="0"/>
              <w:spacing w:line="360" w:lineRule="auto"/>
              <w:rPr>
                <w:rFonts w:asciiTheme="majorHAnsi" w:hAnsiTheme="majorHAnsi"/>
                <w:i/>
              </w:rPr>
            </w:pPr>
            <w:r w:rsidRPr="006C46AB">
              <w:rPr>
                <w:rFonts w:asciiTheme="majorHAnsi" w:hAnsiTheme="majorHAnsi"/>
                <w:i/>
              </w:rPr>
              <w:t>Measures of translocation</w:t>
            </w:r>
          </w:p>
        </w:tc>
      </w:tr>
      <w:tr w:rsidR="00FC7600" w:rsidRPr="006C46AB" w14:paraId="79203CF1" w14:textId="77777777" w:rsidTr="003961A5">
        <w:tc>
          <w:tcPr>
            <w:tcW w:w="3652" w:type="dxa"/>
          </w:tcPr>
          <w:p w14:paraId="7CEF4B4C"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LPS (EU/ml) (median, IQR)</w:t>
            </w:r>
          </w:p>
        </w:tc>
        <w:tc>
          <w:tcPr>
            <w:tcW w:w="2268" w:type="dxa"/>
          </w:tcPr>
          <w:p w14:paraId="0328A00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223 (99-397)</w:t>
            </w:r>
          </w:p>
        </w:tc>
        <w:tc>
          <w:tcPr>
            <w:tcW w:w="2268" w:type="dxa"/>
          </w:tcPr>
          <w:p w14:paraId="48907C2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176 (102-286)</w:t>
            </w:r>
          </w:p>
        </w:tc>
        <w:tc>
          <w:tcPr>
            <w:tcW w:w="851" w:type="dxa"/>
          </w:tcPr>
          <w:p w14:paraId="69F863F9"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0.50</w:t>
            </w:r>
          </w:p>
        </w:tc>
      </w:tr>
      <w:tr w:rsidR="00FC7600" w:rsidRPr="006C46AB" w14:paraId="64EF18C8" w14:textId="77777777" w:rsidTr="003961A5">
        <w:tc>
          <w:tcPr>
            <w:tcW w:w="3652" w:type="dxa"/>
          </w:tcPr>
          <w:p w14:paraId="64CEE28F"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LPS binding protein (</w:t>
            </w:r>
            <w:proofErr w:type="spellStart"/>
            <w:r w:rsidRPr="006C46AB">
              <w:rPr>
                <w:rFonts w:asciiTheme="majorHAnsi" w:hAnsiTheme="majorHAnsi"/>
              </w:rPr>
              <w:t>ng</w:t>
            </w:r>
            <w:proofErr w:type="spellEnd"/>
            <w:r w:rsidRPr="006C46AB">
              <w:rPr>
                <w:rFonts w:asciiTheme="majorHAnsi" w:hAnsiTheme="majorHAnsi"/>
              </w:rPr>
              <w:t>/ml)</w:t>
            </w:r>
          </w:p>
        </w:tc>
        <w:tc>
          <w:tcPr>
            <w:tcW w:w="2268" w:type="dxa"/>
          </w:tcPr>
          <w:p w14:paraId="6FD66F46"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22.9 (19.8-29.0)</w:t>
            </w:r>
          </w:p>
        </w:tc>
        <w:tc>
          <w:tcPr>
            <w:tcW w:w="2268" w:type="dxa"/>
          </w:tcPr>
          <w:p w14:paraId="1077BCC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29.2 (26.6-35.8)</w:t>
            </w:r>
          </w:p>
        </w:tc>
        <w:tc>
          <w:tcPr>
            <w:tcW w:w="851" w:type="dxa"/>
          </w:tcPr>
          <w:p w14:paraId="5C91EAF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0.01</w:t>
            </w:r>
          </w:p>
        </w:tc>
      </w:tr>
      <w:tr w:rsidR="00FC7600" w:rsidRPr="006C46AB" w14:paraId="3315C862" w14:textId="77777777" w:rsidTr="003961A5">
        <w:tc>
          <w:tcPr>
            <w:tcW w:w="3652" w:type="dxa"/>
          </w:tcPr>
          <w:p w14:paraId="4396ACD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C-reactive protein (mg/l)</w:t>
            </w:r>
          </w:p>
        </w:tc>
        <w:tc>
          <w:tcPr>
            <w:tcW w:w="2268" w:type="dxa"/>
          </w:tcPr>
          <w:p w14:paraId="0670809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0.95 (0.47-3.2)</w:t>
            </w:r>
          </w:p>
        </w:tc>
        <w:tc>
          <w:tcPr>
            <w:tcW w:w="2268" w:type="dxa"/>
          </w:tcPr>
          <w:p w14:paraId="25017F84"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7.52 (1.6-12.9)</w:t>
            </w:r>
          </w:p>
        </w:tc>
        <w:tc>
          <w:tcPr>
            <w:tcW w:w="851" w:type="dxa"/>
          </w:tcPr>
          <w:p w14:paraId="4585A4F3"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0.01</w:t>
            </w:r>
          </w:p>
        </w:tc>
      </w:tr>
      <w:tr w:rsidR="00FC7600" w:rsidRPr="006C46AB" w14:paraId="51D1EE2B" w14:textId="77777777" w:rsidTr="003961A5">
        <w:tc>
          <w:tcPr>
            <w:tcW w:w="3652" w:type="dxa"/>
          </w:tcPr>
          <w:p w14:paraId="65B523BA"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soluble CD14 (</w:t>
            </w:r>
            <w:proofErr w:type="spellStart"/>
            <w:r w:rsidRPr="006C46AB">
              <w:rPr>
                <w:rFonts w:asciiTheme="majorHAnsi" w:hAnsiTheme="majorHAnsi"/>
              </w:rPr>
              <w:t>ng</w:t>
            </w:r>
            <w:proofErr w:type="spellEnd"/>
            <w:r w:rsidRPr="006C46AB">
              <w:rPr>
                <w:rFonts w:asciiTheme="majorHAnsi" w:hAnsiTheme="majorHAnsi"/>
              </w:rPr>
              <w:t>/ml)</w:t>
            </w:r>
          </w:p>
        </w:tc>
        <w:tc>
          <w:tcPr>
            <w:tcW w:w="2268" w:type="dxa"/>
          </w:tcPr>
          <w:p w14:paraId="71288563"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1.62 (1.34-1.87)</w:t>
            </w:r>
          </w:p>
        </w:tc>
        <w:tc>
          <w:tcPr>
            <w:tcW w:w="2268" w:type="dxa"/>
          </w:tcPr>
          <w:p w14:paraId="3A92199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1.74 (1.46-2.10)</w:t>
            </w:r>
          </w:p>
        </w:tc>
        <w:tc>
          <w:tcPr>
            <w:tcW w:w="851" w:type="dxa"/>
          </w:tcPr>
          <w:p w14:paraId="11ED25D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0.30</w:t>
            </w:r>
          </w:p>
        </w:tc>
      </w:tr>
      <w:tr w:rsidR="00FC7600" w:rsidRPr="006C46AB" w14:paraId="1E97E62A" w14:textId="77777777" w:rsidTr="003961A5">
        <w:tc>
          <w:tcPr>
            <w:tcW w:w="3652" w:type="dxa"/>
          </w:tcPr>
          <w:p w14:paraId="7DAAB684"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CD163 (</w:t>
            </w:r>
            <w:proofErr w:type="spellStart"/>
            <w:r w:rsidRPr="006C46AB">
              <w:rPr>
                <w:rFonts w:asciiTheme="majorHAnsi" w:hAnsiTheme="majorHAnsi"/>
              </w:rPr>
              <w:t>ng</w:t>
            </w:r>
            <w:proofErr w:type="spellEnd"/>
            <w:r w:rsidRPr="006C46AB">
              <w:rPr>
                <w:rFonts w:asciiTheme="majorHAnsi" w:hAnsiTheme="majorHAnsi"/>
              </w:rPr>
              <w:t>/ml)</w:t>
            </w:r>
          </w:p>
        </w:tc>
        <w:tc>
          <w:tcPr>
            <w:tcW w:w="2268" w:type="dxa"/>
          </w:tcPr>
          <w:p w14:paraId="1928F06C"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618 (408-797)</w:t>
            </w:r>
          </w:p>
        </w:tc>
        <w:tc>
          <w:tcPr>
            <w:tcW w:w="2268" w:type="dxa"/>
          </w:tcPr>
          <w:p w14:paraId="529C2C7C"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599 (450-855)</w:t>
            </w:r>
          </w:p>
        </w:tc>
        <w:tc>
          <w:tcPr>
            <w:tcW w:w="851" w:type="dxa"/>
          </w:tcPr>
          <w:p w14:paraId="4C63754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0.71</w:t>
            </w:r>
          </w:p>
        </w:tc>
      </w:tr>
      <w:tr w:rsidR="00FC7600" w:rsidRPr="006C46AB" w14:paraId="07283639" w14:textId="77777777" w:rsidTr="003961A5">
        <w:tc>
          <w:tcPr>
            <w:tcW w:w="9039" w:type="dxa"/>
            <w:gridSpan w:val="4"/>
          </w:tcPr>
          <w:p w14:paraId="44658EE8" w14:textId="77777777" w:rsidR="00FC7600" w:rsidRPr="006C46AB" w:rsidRDefault="00FC7600" w:rsidP="003961A5">
            <w:pPr>
              <w:widowControl w:val="0"/>
              <w:spacing w:line="360" w:lineRule="auto"/>
              <w:rPr>
                <w:rFonts w:asciiTheme="majorHAnsi" w:hAnsiTheme="majorHAnsi"/>
                <w:i/>
              </w:rPr>
            </w:pPr>
            <w:proofErr w:type="spellStart"/>
            <w:r w:rsidRPr="006C46AB">
              <w:rPr>
                <w:rFonts w:asciiTheme="majorHAnsi" w:hAnsiTheme="majorHAnsi"/>
                <w:i/>
              </w:rPr>
              <w:t>Morphometry</w:t>
            </w:r>
            <w:proofErr w:type="spellEnd"/>
            <w:r w:rsidRPr="006C46AB">
              <w:rPr>
                <w:rFonts w:asciiTheme="majorHAnsi" w:hAnsiTheme="majorHAnsi"/>
                <w:i/>
              </w:rPr>
              <w:t xml:space="preserve"> and epithelial defects </w:t>
            </w:r>
          </w:p>
        </w:tc>
      </w:tr>
      <w:tr w:rsidR="00FC7600" w:rsidRPr="006C46AB" w14:paraId="1488EECC" w14:textId="77777777" w:rsidTr="003961A5">
        <w:tc>
          <w:tcPr>
            <w:tcW w:w="3652" w:type="dxa"/>
          </w:tcPr>
          <w:p w14:paraId="2CB4D75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Villus height (</w:t>
            </w:r>
            <w:r w:rsidRPr="006C46AB">
              <w:rPr>
                <w:rFonts w:ascii="Symbol" w:hAnsi="Symbol"/>
              </w:rPr>
              <w:t></w:t>
            </w:r>
            <w:r w:rsidRPr="006C46AB">
              <w:rPr>
                <w:rFonts w:asciiTheme="majorHAnsi" w:hAnsiTheme="majorHAnsi"/>
              </w:rPr>
              <w:t>m)</w:t>
            </w:r>
          </w:p>
        </w:tc>
        <w:tc>
          <w:tcPr>
            <w:tcW w:w="2268" w:type="dxa"/>
          </w:tcPr>
          <w:p w14:paraId="30B4F12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219 (196-248)</w:t>
            </w:r>
          </w:p>
          <w:p w14:paraId="28943DE3"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n=25</w:t>
            </w:r>
          </w:p>
        </w:tc>
        <w:tc>
          <w:tcPr>
            <w:tcW w:w="2268" w:type="dxa"/>
          </w:tcPr>
          <w:p w14:paraId="5A16E356"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215 (204-269)</w:t>
            </w:r>
          </w:p>
          <w:p w14:paraId="3B1C4B16"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n=8</w:t>
            </w:r>
          </w:p>
        </w:tc>
        <w:tc>
          <w:tcPr>
            <w:tcW w:w="851" w:type="dxa"/>
          </w:tcPr>
          <w:p w14:paraId="47795399"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0.48</w:t>
            </w:r>
          </w:p>
        </w:tc>
      </w:tr>
      <w:tr w:rsidR="00FC7600" w:rsidRPr="006C46AB" w14:paraId="529F4D85" w14:textId="77777777" w:rsidTr="003961A5">
        <w:tc>
          <w:tcPr>
            <w:tcW w:w="3652" w:type="dxa"/>
          </w:tcPr>
          <w:p w14:paraId="643DD642"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Crypt depth (</w:t>
            </w:r>
            <w:r w:rsidRPr="006C46AB">
              <w:rPr>
                <w:rFonts w:ascii="Symbol" w:hAnsi="Symbol"/>
              </w:rPr>
              <w:t></w:t>
            </w:r>
            <w:r w:rsidRPr="006C46AB">
              <w:rPr>
                <w:rFonts w:asciiTheme="majorHAnsi" w:hAnsiTheme="majorHAnsi"/>
              </w:rPr>
              <w:t>m)</w:t>
            </w:r>
          </w:p>
        </w:tc>
        <w:tc>
          <w:tcPr>
            <w:tcW w:w="2268" w:type="dxa"/>
          </w:tcPr>
          <w:p w14:paraId="33518D2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161 (145-172)</w:t>
            </w:r>
          </w:p>
        </w:tc>
        <w:tc>
          <w:tcPr>
            <w:tcW w:w="2268" w:type="dxa"/>
          </w:tcPr>
          <w:p w14:paraId="5A9FD4B9"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168 (131-179)</w:t>
            </w:r>
          </w:p>
        </w:tc>
        <w:tc>
          <w:tcPr>
            <w:tcW w:w="851" w:type="dxa"/>
          </w:tcPr>
          <w:p w14:paraId="40B09DB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0.93</w:t>
            </w:r>
          </w:p>
        </w:tc>
      </w:tr>
      <w:tr w:rsidR="00FC7600" w:rsidRPr="006C46AB" w14:paraId="4B3E562A" w14:textId="77777777" w:rsidTr="003961A5">
        <w:tc>
          <w:tcPr>
            <w:tcW w:w="3652" w:type="dxa"/>
          </w:tcPr>
          <w:p w14:paraId="446DD19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Villus height : crypt depth ratio</w:t>
            </w:r>
          </w:p>
        </w:tc>
        <w:tc>
          <w:tcPr>
            <w:tcW w:w="2268" w:type="dxa"/>
          </w:tcPr>
          <w:p w14:paraId="440D70E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1.35 (1.25-1.50)</w:t>
            </w:r>
          </w:p>
        </w:tc>
        <w:tc>
          <w:tcPr>
            <w:tcW w:w="2268" w:type="dxa"/>
          </w:tcPr>
          <w:p w14:paraId="52B05356"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1.48 (1.30-1.61)</w:t>
            </w:r>
          </w:p>
        </w:tc>
        <w:tc>
          <w:tcPr>
            <w:tcW w:w="851" w:type="dxa"/>
          </w:tcPr>
          <w:p w14:paraId="5179DDC9"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0.21</w:t>
            </w:r>
          </w:p>
        </w:tc>
      </w:tr>
      <w:tr w:rsidR="00FC7600" w:rsidRPr="006C46AB" w14:paraId="02255153" w14:textId="77777777" w:rsidTr="003961A5">
        <w:tc>
          <w:tcPr>
            <w:tcW w:w="3652" w:type="dxa"/>
          </w:tcPr>
          <w:p w14:paraId="317C638C"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Epithelial surface area </w:t>
            </w:r>
          </w:p>
        </w:tc>
        <w:tc>
          <w:tcPr>
            <w:tcW w:w="2268" w:type="dxa"/>
          </w:tcPr>
          <w:p w14:paraId="0C03C6F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655 (534-716)</w:t>
            </w:r>
          </w:p>
        </w:tc>
        <w:tc>
          <w:tcPr>
            <w:tcW w:w="2268" w:type="dxa"/>
          </w:tcPr>
          <w:p w14:paraId="07F54BDA"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486 (460-548)</w:t>
            </w:r>
          </w:p>
        </w:tc>
        <w:tc>
          <w:tcPr>
            <w:tcW w:w="851" w:type="dxa"/>
          </w:tcPr>
          <w:p w14:paraId="686B944E"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0.02</w:t>
            </w:r>
          </w:p>
        </w:tc>
      </w:tr>
      <w:tr w:rsidR="00FC7600" w:rsidRPr="006C46AB" w14:paraId="6E1C572B" w14:textId="77777777" w:rsidTr="003961A5">
        <w:tc>
          <w:tcPr>
            <w:tcW w:w="3652" w:type="dxa"/>
          </w:tcPr>
          <w:p w14:paraId="6CADA096" w14:textId="77777777" w:rsidR="00FC7600" w:rsidRPr="006C46AB" w:rsidRDefault="00FC7600" w:rsidP="003961A5">
            <w:pPr>
              <w:widowControl w:val="0"/>
              <w:spacing w:line="360" w:lineRule="auto"/>
              <w:rPr>
                <w:rFonts w:asciiTheme="majorHAnsi" w:hAnsiTheme="majorHAnsi"/>
              </w:rPr>
            </w:pPr>
            <w:proofErr w:type="spellStart"/>
            <w:r w:rsidRPr="006C46AB">
              <w:rPr>
                <w:rFonts w:asciiTheme="majorHAnsi" w:hAnsiTheme="majorHAnsi"/>
              </w:rPr>
              <w:t>SA:volume</w:t>
            </w:r>
            <w:proofErr w:type="spellEnd"/>
            <w:r w:rsidRPr="006C46AB">
              <w:rPr>
                <w:rFonts w:asciiTheme="majorHAnsi" w:hAnsiTheme="majorHAnsi"/>
              </w:rPr>
              <w:t xml:space="preserve"> ratio</w:t>
            </w:r>
          </w:p>
        </w:tc>
        <w:tc>
          <w:tcPr>
            <w:tcW w:w="2268" w:type="dxa"/>
          </w:tcPr>
          <w:p w14:paraId="5BF6869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0.032 (0.027-0.035)</w:t>
            </w:r>
          </w:p>
        </w:tc>
        <w:tc>
          <w:tcPr>
            <w:tcW w:w="2268" w:type="dxa"/>
          </w:tcPr>
          <w:p w14:paraId="1B972A0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0.028 (0.025-0.032)</w:t>
            </w:r>
          </w:p>
        </w:tc>
        <w:tc>
          <w:tcPr>
            <w:tcW w:w="851" w:type="dxa"/>
          </w:tcPr>
          <w:p w14:paraId="11330A3C"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0.15</w:t>
            </w:r>
          </w:p>
        </w:tc>
      </w:tr>
      <w:tr w:rsidR="00FC7600" w:rsidRPr="006C46AB" w14:paraId="1046F960" w14:textId="77777777" w:rsidTr="003961A5">
        <w:tc>
          <w:tcPr>
            <w:tcW w:w="3652" w:type="dxa"/>
          </w:tcPr>
          <w:p w14:paraId="5048EF60" w14:textId="5D0BFB5E" w:rsidR="00FC7600" w:rsidRPr="006C46AB" w:rsidRDefault="00FC7600" w:rsidP="003961A5">
            <w:pPr>
              <w:widowControl w:val="0"/>
              <w:spacing w:line="360" w:lineRule="auto"/>
              <w:rPr>
                <w:rFonts w:asciiTheme="majorHAnsi" w:hAnsiTheme="majorHAnsi"/>
              </w:rPr>
            </w:pPr>
            <w:r w:rsidRPr="006C46AB">
              <w:rPr>
                <w:rFonts w:asciiTheme="majorHAnsi" w:hAnsiTheme="majorHAnsi"/>
              </w:rPr>
              <w:t>Epithelial defects (H&amp;E):</w:t>
            </w:r>
          </w:p>
          <w:p w14:paraId="19141F4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none</w:t>
            </w:r>
          </w:p>
          <w:p w14:paraId="3401964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few</w:t>
            </w:r>
          </w:p>
          <w:p w14:paraId="3BEE07D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many</w:t>
            </w:r>
          </w:p>
        </w:tc>
        <w:tc>
          <w:tcPr>
            <w:tcW w:w="2268" w:type="dxa"/>
          </w:tcPr>
          <w:p w14:paraId="35AEAC5A" w14:textId="77777777" w:rsidR="00FC7600" w:rsidRPr="006C46AB" w:rsidRDefault="00FC7600" w:rsidP="003961A5">
            <w:pPr>
              <w:widowControl w:val="0"/>
              <w:spacing w:line="360" w:lineRule="auto"/>
              <w:rPr>
                <w:rFonts w:asciiTheme="majorHAnsi" w:hAnsiTheme="majorHAnsi"/>
              </w:rPr>
            </w:pPr>
          </w:p>
          <w:p w14:paraId="0916C0D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w:t>
            </w:r>
          </w:p>
          <w:p w14:paraId="48F141F6"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12</w:t>
            </w:r>
          </w:p>
          <w:p w14:paraId="6A7C613E"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24</w:t>
            </w:r>
          </w:p>
        </w:tc>
        <w:tc>
          <w:tcPr>
            <w:tcW w:w="2268" w:type="dxa"/>
          </w:tcPr>
          <w:p w14:paraId="40AB706C" w14:textId="77777777" w:rsidR="00FC7600" w:rsidRPr="006C46AB" w:rsidRDefault="00FC7600" w:rsidP="003961A5">
            <w:pPr>
              <w:widowControl w:val="0"/>
              <w:spacing w:line="360" w:lineRule="auto"/>
              <w:rPr>
                <w:rFonts w:asciiTheme="majorHAnsi" w:hAnsiTheme="majorHAnsi"/>
              </w:rPr>
            </w:pPr>
          </w:p>
          <w:p w14:paraId="0C04C47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0</w:t>
            </w:r>
          </w:p>
          <w:p w14:paraId="2DF1CBE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4</w:t>
            </w:r>
          </w:p>
          <w:p w14:paraId="3028C32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11</w:t>
            </w:r>
          </w:p>
        </w:tc>
        <w:tc>
          <w:tcPr>
            <w:tcW w:w="851" w:type="dxa"/>
          </w:tcPr>
          <w:p w14:paraId="26D44FCB" w14:textId="77777777" w:rsidR="00FC7600" w:rsidRPr="006C46AB" w:rsidRDefault="00FC7600" w:rsidP="003961A5">
            <w:pPr>
              <w:widowControl w:val="0"/>
              <w:spacing w:line="360" w:lineRule="auto"/>
              <w:rPr>
                <w:rFonts w:asciiTheme="majorHAnsi" w:hAnsiTheme="majorHAnsi"/>
              </w:rPr>
            </w:pPr>
          </w:p>
          <w:p w14:paraId="3A05EC4C"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0.82</w:t>
            </w:r>
          </w:p>
        </w:tc>
      </w:tr>
      <w:tr w:rsidR="00FC7600" w:rsidRPr="006C46AB" w14:paraId="713EE546" w14:textId="77777777" w:rsidTr="003961A5">
        <w:tc>
          <w:tcPr>
            <w:tcW w:w="9039" w:type="dxa"/>
            <w:gridSpan w:val="4"/>
          </w:tcPr>
          <w:p w14:paraId="0DD9A295" w14:textId="77777777" w:rsidR="00FC7600" w:rsidRPr="006C46AB" w:rsidRDefault="00FC7600" w:rsidP="003961A5">
            <w:pPr>
              <w:widowControl w:val="0"/>
              <w:spacing w:line="360" w:lineRule="auto"/>
              <w:rPr>
                <w:rFonts w:asciiTheme="majorHAnsi" w:hAnsiTheme="majorHAnsi"/>
                <w:i/>
              </w:rPr>
            </w:pPr>
            <w:r w:rsidRPr="006C46AB">
              <w:rPr>
                <w:rFonts w:asciiTheme="majorHAnsi" w:hAnsiTheme="majorHAnsi"/>
                <w:i/>
              </w:rPr>
              <w:t>Defects imaged using claudin 4 immunostaining</w:t>
            </w:r>
          </w:p>
        </w:tc>
      </w:tr>
      <w:tr w:rsidR="00FC7600" w:rsidRPr="006C46AB" w14:paraId="7379C41E" w14:textId="77777777" w:rsidTr="003961A5">
        <w:tc>
          <w:tcPr>
            <w:tcW w:w="3652" w:type="dxa"/>
          </w:tcPr>
          <w:p w14:paraId="14EEA2A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Villus tip lesions present</w:t>
            </w:r>
          </w:p>
        </w:tc>
        <w:tc>
          <w:tcPr>
            <w:tcW w:w="2268" w:type="dxa"/>
          </w:tcPr>
          <w:p w14:paraId="21E2634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10/27 (34%)</w:t>
            </w:r>
          </w:p>
        </w:tc>
        <w:tc>
          <w:tcPr>
            <w:tcW w:w="2268" w:type="dxa"/>
          </w:tcPr>
          <w:p w14:paraId="0507F57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1/9 (11%)</w:t>
            </w:r>
          </w:p>
        </w:tc>
        <w:tc>
          <w:tcPr>
            <w:tcW w:w="851" w:type="dxa"/>
          </w:tcPr>
          <w:p w14:paraId="1D5F7E3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0.22</w:t>
            </w:r>
          </w:p>
        </w:tc>
      </w:tr>
      <w:tr w:rsidR="00FC7600" w:rsidRPr="006C46AB" w14:paraId="5D1933B6" w14:textId="77777777" w:rsidTr="003961A5">
        <w:tc>
          <w:tcPr>
            <w:tcW w:w="3652" w:type="dxa"/>
          </w:tcPr>
          <w:p w14:paraId="21659F52" w14:textId="1FC7DA9A" w:rsidR="00FC7600" w:rsidRPr="006C46AB" w:rsidRDefault="00FC7600" w:rsidP="00FC7600">
            <w:pPr>
              <w:widowControl w:val="0"/>
              <w:spacing w:line="360" w:lineRule="auto"/>
              <w:rPr>
                <w:rFonts w:asciiTheme="majorHAnsi" w:hAnsiTheme="majorHAnsi"/>
              </w:rPr>
            </w:pPr>
            <w:r w:rsidRPr="006C46AB">
              <w:rPr>
                <w:rFonts w:asciiTheme="majorHAnsi" w:hAnsiTheme="majorHAnsi"/>
              </w:rPr>
              <w:t>Epithelial defects present</w:t>
            </w:r>
          </w:p>
        </w:tc>
        <w:tc>
          <w:tcPr>
            <w:tcW w:w="2268" w:type="dxa"/>
          </w:tcPr>
          <w:p w14:paraId="529DE05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16/27 (59%)</w:t>
            </w:r>
          </w:p>
        </w:tc>
        <w:tc>
          <w:tcPr>
            <w:tcW w:w="2268" w:type="dxa"/>
          </w:tcPr>
          <w:p w14:paraId="0DB40B0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5/9 (56%)</w:t>
            </w:r>
          </w:p>
        </w:tc>
        <w:tc>
          <w:tcPr>
            <w:tcW w:w="851" w:type="dxa"/>
          </w:tcPr>
          <w:p w14:paraId="4F17BF7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1.00</w:t>
            </w:r>
          </w:p>
        </w:tc>
      </w:tr>
      <w:tr w:rsidR="00FC7600" w:rsidRPr="006C46AB" w14:paraId="2FC8BFEA" w14:textId="77777777" w:rsidTr="003961A5">
        <w:tc>
          <w:tcPr>
            <w:tcW w:w="9039" w:type="dxa"/>
            <w:gridSpan w:val="4"/>
          </w:tcPr>
          <w:p w14:paraId="2AE1B425" w14:textId="77777777" w:rsidR="00FC7600" w:rsidRPr="006C46AB" w:rsidRDefault="00FC7600" w:rsidP="003961A5">
            <w:pPr>
              <w:widowControl w:val="0"/>
              <w:spacing w:line="360" w:lineRule="auto"/>
              <w:rPr>
                <w:rFonts w:asciiTheme="majorHAnsi" w:hAnsiTheme="majorHAnsi"/>
                <w:i/>
              </w:rPr>
            </w:pPr>
            <w:r w:rsidRPr="006C46AB">
              <w:rPr>
                <w:rFonts w:asciiTheme="majorHAnsi" w:hAnsiTheme="majorHAnsi"/>
                <w:i/>
              </w:rPr>
              <w:t>Zinc uptake</w:t>
            </w:r>
          </w:p>
        </w:tc>
      </w:tr>
      <w:tr w:rsidR="00FC7600" w:rsidRPr="006C46AB" w14:paraId="4B10815B" w14:textId="77777777" w:rsidTr="003961A5">
        <w:tc>
          <w:tcPr>
            <w:tcW w:w="3652" w:type="dxa"/>
          </w:tcPr>
          <w:p w14:paraId="437750FE"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Baseline zinc concentration (</w:t>
            </w:r>
            <w:r w:rsidRPr="006C46AB">
              <w:rPr>
                <w:rFonts w:ascii="Symbol" w:hAnsi="Symbol"/>
              </w:rPr>
              <w:t></w:t>
            </w:r>
            <w:proofErr w:type="spellStart"/>
            <w:r w:rsidRPr="006C46AB">
              <w:rPr>
                <w:rFonts w:asciiTheme="majorHAnsi" w:hAnsiTheme="majorHAnsi"/>
              </w:rPr>
              <w:t>mol</w:t>
            </w:r>
            <w:proofErr w:type="spellEnd"/>
            <w:r w:rsidRPr="006C46AB">
              <w:rPr>
                <w:rFonts w:asciiTheme="majorHAnsi" w:hAnsiTheme="majorHAnsi"/>
              </w:rPr>
              <w:t>/l)</w:t>
            </w:r>
          </w:p>
        </w:tc>
        <w:tc>
          <w:tcPr>
            <w:tcW w:w="2268" w:type="dxa"/>
          </w:tcPr>
          <w:p w14:paraId="536B0A12"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11.9 (9.0-15.0)</w:t>
            </w:r>
          </w:p>
        </w:tc>
        <w:tc>
          <w:tcPr>
            <w:tcW w:w="2268" w:type="dxa"/>
          </w:tcPr>
          <w:p w14:paraId="4C6E40A9"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10.4 (6.8-15.2)</w:t>
            </w:r>
          </w:p>
        </w:tc>
        <w:tc>
          <w:tcPr>
            <w:tcW w:w="851" w:type="dxa"/>
          </w:tcPr>
          <w:p w14:paraId="3CB3715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0.24</w:t>
            </w:r>
          </w:p>
        </w:tc>
      </w:tr>
      <w:tr w:rsidR="00FC7600" w:rsidRPr="006C46AB" w14:paraId="63BABB99" w14:textId="77777777" w:rsidTr="003961A5">
        <w:tc>
          <w:tcPr>
            <w:tcW w:w="3652" w:type="dxa"/>
          </w:tcPr>
          <w:p w14:paraId="533F5CF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Rise in plasma zinc concentration over 3 hours (</w:t>
            </w:r>
            <w:r w:rsidRPr="006C46AB">
              <w:rPr>
                <w:rFonts w:ascii="Symbol" w:hAnsi="Symbol"/>
              </w:rPr>
              <w:t></w:t>
            </w:r>
            <w:proofErr w:type="spellStart"/>
            <w:r w:rsidRPr="006C46AB">
              <w:rPr>
                <w:rFonts w:asciiTheme="majorHAnsi" w:hAnsiTheme="majorHAnsi"/>
              </w:rPr>
              <w:t>mol</w:t>
            </w:r>
            <w:proofErr w:type="spellEnd"/>
            <w:r w:rsidRPr="006C46AB">
              <w:rPr>
                <w:rFonts w:asciiTheme="majorHAnsi" w:hAnsiTheme="majorHAnsi"/>
              </w:rPr>
              <w:t>/l)</w:t>
            </w:r>
          </w:p>
        </w:tc>
        <w:tc>
          <w:tcPr>
            <w:tcW w:w="2268" w:type="dxa"/>
          </w:tcPr>
          <w:p w14:paraId="40DE78E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7.2 (5.2-12.7)</w:t>
            </w:r>
          </w:p>
        </w:tc>
        <w:tc>
          <w:tcPr>
            <w:tcW w:w="2268" w:type="dxa"/>
          </w:tcPr>
          <w:p w14:paraId="31D1E5FA"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5.4 (2.5-7.6)</w:t>
            </w:r>
          </w:p>
        </w:tc>
        <w:tc>
          <w:tcPr>
            <w:tcW w:w="851" w:type="dxa"/>
          </w:tcPr>
          <w:p w14:paraId="5C70856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0.07</w:t>
            </w:r>
          </w:p>
        </w:tc>
      </w:tr>
      <w:tr w:rsidR="00FC7600" w:rsidRPr="006C46AB" w14:paraId="78DE7609" w14:textId="77777777" w:rsidTr="003961A5">
        <w:tc>
          <w:tcPr>
            <w:tcW w:w="9039" w:type="dxa"/>
            <w:gridSpan w:val="4"/>
          </w:tcPr>
          <w:p w14:paraId="0DBBCE1A" w14:textId="77777777" w:rsidR="00FC7600" w:rsidRPr="006C46AB" w:rsidRDefault="00FC7600" w:rsidP="003961A5">
            <w:pPr>
              <w:widowControl w:val="0"/>
              <w:spacing w:line="360" w:lineRule="auto"/>
              <w:rPr>
                <w:rFonts w:asciiTheme="majorHAnsi" w:hAnsiTheme="majorHAnsi"/>
                <w:i/>
              </w:rPr>
            </w:pPr>
            <w:r w:rsidRPr="006C46AB">
              <w:rPr>
                <w:rFonts w:asciiTheme="majorHAnsi" w:hAnsiTheme="majorHAnsi"/>
                <w:i/>
              </w:rPr>
              <w:t>Potential predictors of translocation and malabsorption</w:t>
            </w:r>
          </w:p>
        </w:tc>
      </w:tr>
      <w:tr w:rsidR="00FC7600" w:rsidRPr="006C46AB" w14:paraId="4E6519CE" w14:textId="77777777" w:rsidTr="003961A5">
        <w:tc>
          <w:tcPr>
            <w:tcW w:w="3652" w:type="dxa"/>
          </w:tcPr>
          <w:p w14:paraId="0963392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Gastric pH</w:t>
            </w:r>
          </w:p>
        </w:tc>
        <w:tc>
          <w:tcPr>
            <w:tcW w:w="2268" w:type="dxa"/>
          </w:tcPr>
          <w:p w14:paraId="3E932BDC"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1.5 (1.5-2.5)</w:t>
            </w:r>
          </w:p>
        </w:tc>
        <w:tc>
          <w:tcPr>
            <w:tcW w:w="2268" w:type="dxa"/>
          </w:tcPr>
          <w:p w14:paraId="2F06695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5.5 (3.0-5.5)</w:t>
            </w:r>
          </w:p>
        </w:tc>
        <w:tc>
          <w:tcPr>
            <w:tcW w:w="851" w:type="dxa"/>
          </w:tcPr>
          <w:p w14:paraId="24042751"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0.002</w:t>
            </w:r>
          </w:p>
        </w:tc>
      </w:tr>
      <w:tr w:rsidR="00FC7600" w:rsidRPr="006C46AB" w14:paraId="47B3BB04" w14:textId="77777777" w:rsidTr="003961A5">
        <w:tc>
          <w:tcPr>
            <w:tcW w:w="3652" w:type="dxa"/>
          </w:tcPr>
          <w:p w14:paraId="179BC356"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Fatty Acid Binding Protein (</w:t>
            </w:r>
            <w:proofErr w:type="spellStart"/>
            <w:r w:rsidRPr="006C46AB">
              <w:rPr>
                <w:rFonts w:asciiTheme="majorHAnsi" w:hAnsiTheme="majorHAnsi"/>
              </w:rPr>
              <w:t>pg</w:t>
            </w:r>
            <w:proofErr w:type="spellEnd"/>
            <w:r w:rsidRPr="006C46AB">
              <w:rPr>
                <w:rFonts w:asciiTheme="majorHAnsi" w:hAnsiTheme="majorHAnsi"/>
              </w:rPr>
              <w:t>/ml)</w:t>
            </w:r>
          </w:p>
        </w:tc>
        <w:tc>
          <w:tcPr>
            <w:tcW w:w="2268" w:type="dxa"/>
          </w:tcPr>
          <w:p w14:paraId="4DA1895E"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0.59 (0.45-0.86)</w:t>
            </w:r>
          </w:p>
        </w:tc>
        <w:tc>
          <w:tcPr>
            <w:tcW w:w="2268" w:type="dxa"/>
          </w:tcPr>
          <w:p w14:paraId="491FADC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0.66 (0.49-1.40)</w:t>
            </w:r>
          </w:p>
        </w:tc>
        <w:tc>
          <w:tcPr>
            <w:tcW w:w="851" w:type="dxa"/>
          </w:tcPr>
          <w:p w14:paraId="5F5B2BFF"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0.63</w:t>
            </w:r>
          </w:p>
        </w:tc>
      </w:tr>
      <w:tr w:rsidR="00FC7600" w:rsidRPr="006C46AB" w14:paraId="0009005D" w14:textId="77777777" w:rsidTr="003961A5">
        <w:tc>
          <w:tcPr>
            <w:tcW w:w="3652" w:type="dxa"/>
          </w:tcPr>
          <w:p w14:paraId="551A5913"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GLP-2 (</w:t>
            </w:r>
            <w:proofErr w:type="spellStart"/>
            <w:r w:rsidRPr="006C46AB">
              <w:rPr>
                <w:rFonts w:asciiTheme="majorHAnsi" w:hAnsiTheme="majorHAnsi"/>
              </w:rPr>
              <w:t>ng</w:t>
            </w:r>
            <w:proofErr w:type="spellEnd"/>
            <w:r w:rsidRPr="006C46AB">
              <w:rPr>
                <w:rFonts w:asciiTheme="majorHAnsi" w:hAnsiTheme="majorHAnsi"/>
              </w:rPr>
              <w:t>/ml)</w:t>
            </w:r>
          </w:p>
        </w:tc>
        <w:tc>
          <w:tcPr>
            <w:tcW w:w="2268" w:type="dxa"/>
          </w:tcPr>
          <w:p w14:paraId="6ED818D3"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1.2 (0.8-2.0)</w:t>
            </w:r>
          </w:p>
        </w:tc>
        <w:tc>
          <w:tcPr>
            <w:tcW w:w="2268" w:type="dxa"/>
          </w:tcPr>
          <w:p w14:paraId="733D383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0.6 (0-1.9)</w:t>
            </w:r>
          </w:p>
        </w:tc>
        <w:tc>
          <w:tcPr>
            <w:tcW w:w="851" w:type="dxa"/>
          </w:tcPr>
          <w:p w14:paraId="0EA2364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0.12</w:t>
            </w:r>
          </w:p>
        </w:tc>
      </w:tr>
      <w:tr w:rsidR="00FC7600" w:rsidRPr="006C46AB" w14:paraId="4113A503" w14:textId="77777777" w:rsidTr="003961A5">
        <w:tc>
          <w:tcPr>
            <w:tcW w:w="3652" w:type="dxa"/>
          </w:tcPr>
          <w:p w14:paraId="745F969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Duodenal </w:t>
            </w:r>
            <w:r w:rsidRPr="006C46AB">
              <w:rPr>
                <w:rFonts w:ascii="Symbol" w:hAnsi="Symbol"/>
              </w:rPr>
              <w:t></w:t>
            </w:r>
            <w:r w:rsidRPr="006C46AB">
              <w:rPr>
                <w:rFonts w:asciiTheme="majorHAnsi" w:hAnsiTheme="majorHAnsi"/>
                <w:vertAlign w:val="subscript"/>
              </w:rPr>
              <w:t>1</w:t>
            </w:r>
            <w:r w:rsidRPr="006C46AB">
              <w:rPr>
                <w:rFonts w:asciiTheme="majorHAnsi" w:hAnsiTheme="majorHAnsi"/>
              </w:rPr>
              <w:t>-antitrypsin (WB):</w:t>
            </w:r>
          </w:p>
          <w:p w14:paraId="122148DF"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none</w:t>
            </w:r>
          </w:p>
          <w:p w14:paraId="21F559AC"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weak</w:t>
            </w:r>
          </w:p>
          <w:p w14:paraId="5C7DD9F9"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moderate</w:t>
            </w:r>
          </w:p>
          <w:p w14:paraId="6320120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strong</w:t>
            </w:r>
          </w:p>
        </w:tc>
        <w:tc>
          <w:tcPr>
            <w:tcW w:w="2268" w:type="dxa"/>
          </w:tcPr>
          <w:p w14:paraId="606077F3" w14:textId="77777777" w:rsidR="00FC7600" w:rsidRPr="006C46AB" w:rsidRDefault="00FC7600" w:rsidP="003961A5">
            <w:pPr>
              <w:widowControl w:val="0"/>
              <w:spacing w:line="360" w:lineRule="auto"/>
              <w:rPr>
                <w:rFonts w:asciiTheme="majorHAnsi" w:hAnsiTheme="majorHAnsi"/>
              </w:rPr>
            </w:pPr>
          </w:p>
          <w:p w14:paraId="6FE6843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17</w:t>
            </w:r>
          </w:p>
          <w:p w14:paraId="796AEAC6"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7</w:t>
            </w:r>
          </w:p>
          <w:p w14:paraId="15BDA22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5</w:t>
            </w:r>
          </w:p>
          <w:p w14:paraId="270234CB"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6</w:t>
            </w:r>
          </w:p>
        </w:tc>
        <w:tc>
          <w:tcPr>
            <w:tcW w:w="2268" w:type="dxa"/>
          </w:tcPr>
          <w:p w14:paraId="1AB010F0" w14:textId="77777777" w:rsidR="00FC7600" w:rsidRPr="006C46AB" w:rsidRDefault="00FC7600" w:rsidP="003961A5">
            <w:pPr>
              <w:widowControl w:val="0"/>
              <w:spacing w:line="360" w:lineRule="auto"/>
              <w:rPr>
                <w:rFonts w:asciiTheme="majorHAnsi" w:hAnsiTheme="majorHAnsi"/>
              </w:rPr>
            </w:pPr>
          </w:p>
          <w:p w14:paraId="6F867BB6"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4</w:t>
            </w:r>
          </w:p>
          <w:p w14:paraId="1544DB9F"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2</w:t>
            </w:r>
          </w:p>
          <w:p w14:paraId="0DAA28D3"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3</w:t>
            </w:r>
          </w:p>
          <w:p w14:paraId="53ECD3C2"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5</w:t>
            </w:r>
          </w:p>
        </w:tc>
        <w:tc>
          <w:tcPr>
            <w:tcW w:w="851" w:type="dxa"/>
          </w:tcPr>
          <w:p w14:paraId="3F84A0A7" w14:textId="77777777" w:rsidR="00FC7600" w:rsidRPr="006C46AB" w:rsidRDefault="00FC7600" w:rsidP="003961A5">
            <w:pPr>
              <w:widowControl w:val="0"/>
              <w:spacing w:line="360" w:lineRule="auto"/>
              <w:rPr>
                <w:rFonts w:asciiTheme="majorHAnsi" w:hAnsiTheme="majorHAnsi"/>
              </w:rPr>
            </w:pPr>
          </w:p>
          <w:p w14:paraId="5E140513"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0.10</w:t>
            </w:r>
          </w:p>
        </w:tc>
      </w:tr>
      <w:tr w:rsidR="00FC7600" w:rsidRPr="006C46AB" w14:paraId="6A94423F" w14:textId="77777777" w:rsidTr="003961A5">
        <w:tc>
          <w:tcPr>
            <w:tcW w:w="3652" w:type="dxa"/>
          </w:tcPr>
          <w:p w14:paraId="29AE284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Duodenal MBL (WB):</w:t>
            </w:r>
          </w:p>
          <w:p w14:paraId="194BEA83"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none</w:t>
            </w:r>
          </w:p>
          <w:p w14:paraId="1070585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weak</w:t>
            </w:r>
          </w:p>
          <w:p w14:paraId="40F9D6A6"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moderate</w:t>
            </w:r>
          </w:p>
          <w:p w14:paraId="4BAC7E5D"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  strong</w:t>
            </w:r>
          </w:p>
        </w:tc>
        <w:tc>
          <w:tcPr>
            <w:tcW w:w="2268" w:type="dxa"/>
          </w:tcPr>
          <w:p w14:paraId="33788A61" w14:textId="77777777" w:rsidR="00FC7600" w:rsidRPr="006C46AB" w:rsidRDefault="00FC7600" w:rsidP="003961A5">
            <w:pPr>
              <w:widowControl w:val="0"/>
              <w:spacing w:line="360" w:lineRule="auto"/>
              <w:rPr>
                <w:rFonts w:asciiTheme="majorHAnsi" w:hAnsiTheme="majorHAnsi"/>
              </w:rPr>
            </w:pPr>
          </w:p>
          <w:p w14:paraId="326187DA"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13</w:t>
            </w:r>
          </w:p>
          <w:p w14:paraId="62A57D2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7</w:t>
            </w:r>
          </w:p>
          <w:p w14:paraId="01BF1B89"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8</w:t>
            </w:r>
          </w:p>
          <w:p w14:paraId="1B900C7F"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12</w:t>
            </w:r>
          </w:p>
        </w:tc>
        <w:tc>
          <w:tcPr>
            <w:tcW w:w="2268" w:type="dxa"/>
          </w:tcPr>
          <w:p w14:paraId="003C20AF" w14:textId="77777777" w:rsidR="00FC7600" w:rsidRPr="006C46AB" w:rsidRDefault="00FC7600" w:rsidP="003961A5">
            <w:pPr>
              <w:widowControl w:val="0"/>
              <w:spacing w:line="360" w:lineRule="auto"/>
              <w:rPr>
                <w:rFonts w:asciiTheme="majorHAnsi" w:hAnsiTheme="majorHAnsi"/>
              </w:rPr>
            </w:pPr>
          </w:p>
          <w:p w14:paraId="1DBE9B10"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5</w:t>
            </w:r>
          </w:p>
          <w:p w14:paraId="344F8537"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4</w:t>
            </w:r>
          </w:p>
          <w:p w14:paraId="69B64D05"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4</w:t>
            </w:r>
          </w:p>
          <w:p w14:paraId="11B5A1F2"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7</w:t>
            </w:r>
          </w:p>
        </w:tc>
        <w:tc>
          <w:tcPr>
            <w:tcW w:w="851" w:type="dxa"/>
          </w:tcPr>
          <w:p w14:paraId="00126E53" w14:textId="77777777" w:rsidR="00FC7600" w:rsidRPr="006C46AB" w:rsidRDefault="00FC7600" w:rsidP="003961A5">
            <w:pPr>
              <w:widowControl w:val="0"/>
              <w:spacing w:line="360" w:lineRule="auto"/>
              <w:rPr>
                <w:rFonts w:asciiTheme="majorHAnsi" w:hAnsiTheme="majorHAnsi"/>
              </w:rPr>
            </w:pPr>
          </w:p>
          <w:p w14:paraId="5E1F1C79"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0.96</w:t>
            </w:r>
          </w:p>
        </w:tc>
      </w:tr>
      <w:tr w:rsidR="00FC7600" w:rsidRPr="006C46AB" w14:paraId="39C1FC25" w14:textId="77777777" w:rsidTr="003961A5">
        <w:tc>
          <w:tcPr>
            <w:tcW w:w="3652" w:type="dxa"/>
          </w:tcPr>
          <w:p w14:paraId="54BE4EC4"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 xml:space="preserve">Faecal </w:t>
            </w:r>
            <w:r w:rsidRPr="006C46AB">
              <w:rPr>
                <w:rFonts w:ascii="Symbol" w:hAnsi="Symbol"/>
              </w:rPr>
              <w:t></w:t>
            </w:r>
            <w:r w:rsidRPr="006C46AB">
              <w:rPr>
                <w:rFonts w:asciiTheme="majorHAnsi" w:hAnsiTheme="majorHAnsi"/>
                <w:vertAlign w:val="subscript"/>
              </w:rPr>
              <w:t>1</w:t>
            </w:r>
            <w:r w:rsidRPr="006C46AB">
              <w:rPr>
                <w:rFonts w:asciiTheme="majorHAnsi" w:hAnsiTheme="majorHAnsi"/>
              </w:rPr>
              <w:t>-antitrypsin (</w:t>
            </w:r>
            <w:r w:rsidRPr="006C46AB">
              <w:rPr>
                <w:rFonts w:ascii="Symbol" w:hAnsi="Symbol"/>
              </w:rPr>
              <w:t></w:t>
            </w:r>
            <w:r w:rsidRPr="006C46AB">
              <w:rPr>
                <w:rFonts w:asciiTheme="majorHAnsi" w:hAnsiTheme="majorHAnsi"/>
              </w:rPr>
              <w:t>g/ml)</w:t>
            </w:r>
          </w:p>
        </w:tc>
        <w:tc>
          <w:tcPr>
            <w:tcW w:w="2268" w:type="dxa"/>
          </w:tcPr>
          <w:p w14:paraId="23E093EA"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0.10 (0.02-0.26)</w:t>
            </w:r>
          </w:p>
        </w:tc>
        <w:tc>
          <w:tcPr>
            <w:tcW w:w="2268" w:type="dxa"/>
          </w:tcPr>
          <w:p w14:paraId="79974242"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0.21 (0.04-0.36)</w:t>
            </w:r>
          </w:p>
        </w:tc>
        <w:tc>
          <w:tcPr>
            <w:tcW w:w="851" w:type="dxa"/>
          </w:tcPr>
          <w:p w14:paraId="3AD5DE68" w14:textId="77777777" w:rsidR="00FC7600" w:rsidRPr="006C46AB" w:rsidRDefault="00FC7600" w:rsidP="003961A5">
            <w:pPr>
              <w:widowControl w:val="0"/>
              <w:spacing w:line="360" w:lineRule="auto"/>
              <w:rPr>
                <w:rFonts w:asciiTheme="majorHAnsi" w:hAnsiTheme="majorHAnsi"/>
              </w:rPr>
            </w:pPr>
            <w:r w:rsidRPr="006C46AB">
              <w:rPr>
                <w:rFonts w:asciiTheme="majorHAnsi" w:hAnsiTheme="majorHAnsi"/>
              </w:rPr>
              <w:t>0.38</w:t>
            </w:r>
          </w:p>
        </w:tc>
      </w:tr>
    </w:tbl>
    <w:p w14:paraId="61F2F267" w14:textId="4BB3F2BC" w:rsidR="00FC7600" w:rsidRPr="006C46AB" w:rsidRDefault="00FC7600" w:rsidP="00FC7600">
      <w:pPr>
        <w:widowControl w:val="0"/>
        <w:spacing w:line="360" w:lineRule="auto"/>
        <w:rPr>
          <w:rFonts w:asciiTheme="majorHAnsi" w:hAnsiTheme="majorHAnsi"/>
        </w:rPr>
      </w:pPr>
      <w:r w:rsidRPr="006C46AB">
        <w:rPr>
          <w:rFonts w:asciiTheme="majorHAnsi" w:hAnsiTheme="majorHAnsi"/>
        </w:rPr>
        <w:t xml:space="preserve">LPS, lipopolysaccharide; EU, endotoxin units; CD, cluster of differentiation marker; WB, Western blot; MBL, mannose binding </w:t>
      </w:r>
      <w:proofErr w:type="spellStart"/>
      <w:r w:rsidRPr="006C46AB">
        <w:rPr>
          <w:rFonts w:asciiTheme="majorHAnsi" w:hAnsiTheme="majorHAnsi"/>
        </w:rPr>
        <w:t>lectin</w:t>
      </w:r>
      <w:proofErr w:type="spellEnd"/>
      <w:r w:rsidRPr="006C46AB">
        <w:rPr>
          <w:rFonts w:asciiTheme="majorHAnsi" w:hAnsiTheme="majorHAnsi"/>
        </w:rPr>
        <w:t xml:space="preserve">. WB data are expressed as an ordinal scale (none, weak, moderate, strong intensity of bands). Statistical testing used the </w:t>
      </w:r>
      <w:proofErr w:type="spellStart"/>
      <w:r w:rsidRPr="006C46AB">
        <w:rPr>
          <w:rFonts w:asciiTheme="majorHAnsi" w:hAnsiTheme="majorHAnsi"/>
        </w:rPr>
        <w:t>Kruskal</w:t>
      </w:r>
      <w:proofErr w:type="spellEnd"/>
      <w:r w:rsidRPr="006C46AB">
        <w:rPr>
          <w:rFonts w:asciiTheme="majorHAnsi" w:hAnsiTheme="majorHAnsi"/>
        </w:rPr>
        <w:t xml:space="preserve">-Wallis test for continuous variables or the </w:t>
      </w:r>
      <w:r w:rsidRPr="006C46AB">
        <w:rPr>
          <w:rFonts w:ascii="Symbol" w:hAnsi="Symbol"/>
        </w:rPr>
        <w:t></w:t>
      </w:r>
      <w:r w:rsidRPr="006C46AB">
        <w:rPr>
          <w:rFonts w:asciiTheme="majorHAnsi" w:hAnsiTheme="majorHAnsi"/>
          <w:vertAlign w:val="superscript"/>
        </w:rPr>
        <w:t>2</w:t>
      </w:r>
      <w:r w:rsidRPr="006C46AB">
        <w:rPr>
          <w:rFonts w:asciiTheme="majorHAnsi" w:hAnsiTheme="majorHAnsi"/>
        </w:rPr>
        <w:t xml:space="preserve"> test for trend for ordered categorical variables.</w:t>
      </w:r>
      <w:r w:rsidR="003961A5" w:rsidRPr="006C46AB">
        <w:rPr>
          <w:rFonts w:asciiTheme="majorHAnsi" w:hAnsiTheme="majorHAnsi"/>
        </w:rPr>
        <w:t xml:space="preserve"> Morphometric data show much reduced villus height and </w:t>
      </w:r>
      <w:proofErr w:type="spellStart"/>
      <w:r w:rsidR="003961A5" w:rsidRPr="006C46AB">
        <w:rPr>
          <w:rFonts w:asciiTheme="majorHAnsi" w:hAnsiTheme="majorHAnsi"/>
        </w:rPr>
        <w:t>villus:crypt</w:t>
      </w:r>
      <w:proofErr w:type="spellEnd"/>
      <w:r w:rsidR="003961A5" w:rsidRPr="006C46AB">
        <w:rPr>
          <w:rFonts w:asciiTheme="majorHAnsi" w:hAnsiTheme="majorHAnsi"/>
        </w:rPr>
        <w:t xml:space="preserve"> ratio compared with UK normal values (Table S2, Supplementary Material)</w:t>
      </w:r>
    </w:p>
    <w:p w14:paraId="4F972721" w14:textId="77777777" w:rsidR="00FC7600" w:rsidRPr="006C46AB" w:rsidRDefault="00FC7600" w:rsidP="0025423E">
      <w:pPr>
        <w:widowControl w:val="0"/>
        <w:spacing w:line="360" w:lineRule="auto"/>
        <w:rPr>
          <w:rFonts w:asciiTheme="majorHAnsi" w:hAnsiTheme="majorHAnsi"/>
        </w:rPr>
      </w:pPr>
    </w:p>
    <w:p w14:paraId="1721DF16" w14:textId="172D8E41" w:rsidR="00FC7600" w:rsidRPr="006C46AB" w:rsidRDefault="00FC7600" w:rsidP="00FC7600">
      <w:pPr>
        <w:widowControl w:val="0"/>
        <w:spacing w:line="360" w:lineRule="auto"/>
        <w:rPr>
          <w:rFonts w:asciiTheme="majorHAnsi" w:hAnsiTheme="majorHAnsi"/>
        </w:rPr>
      </w:pPr>
      <w:r w:rsidRPr="006C46AB">
        <w:rPr>
          <w:rFonts w:asciiTheme="majorHAnsi" w:hAnsiTheme="majorHAnsi"/>
          <w:b/>
        </w:rPr>
        <w:t>Figure 2</w:t>
      </w:r>
      <w:r w:rsidRPr="006C46AB">
        <w:rPr>
          <w:rFonts w:asciiTheme="majorHAnsi" w:hAnsiTheme="majorHAnsi"/>
        </w:rPr>
        <w:t xml:space="preserve"> Corresponding confocal laser endomicroscopy images (A, D), claudin 4 </w:t>
      </w:r>
      <w:proofErr w:type="spellStart"/>
      <w:r w:rsidRPr="006C46AB">
        <w:rPr>
          <w:rFonts w:asciiTheme="majorHAnsi" w:hAnsiTheme="majorHAnsi"/>
        </w:rPr>
        <w:t>immunostains</w:t>
      </w:r>
      <w:proofErr w:type="spellEnd"/>
      <w:r w:rsidRPr="006C46AB">
        <w:rPr>
          <w:rFonts w:asciiTheme="majorHAnsi" w:hAnsiTheme="majorHAnsi"/>
        </w:rPr>
        <w:t xml:space="preserve"> (B, E) and histology (C, F) from two individuals (A-C and D-F). In A, three plumes (arrows) are seen; in B claudin 4 immunostaining is disorganised at the site of cell shedding, and in C an epithelial defect is seen with a breach of the basement membrane (arrow). In D, a </w:t>
      </w:r>
      <w:proofErr w:type="spellStart"/>
      <w:r w:rsidRPr="006C46AB">
        <w:rPr>
          <w:rFonts w:asciiTheme="majorHAnsi" w:hAnsiTheme="majorHAnsi"/>
        </w:rPr>
        <w:t>microerosion</w:t>
      </w:r>
      <w:proofErr w:type="spellEnd"/>
      <w:r w:rsidRPr="006C46AB">
        <w:rPr>
          <w:rFonts w:asciiTheme="majorHAnsi" w:hAnsiTheme="majorHAnsi"/>
        </w:rPr>
        <w:t xml:space="preserve"> (thin arrow) and plume (thick arrow) are associated; in E claudin 4 </w:t>
      </w:r>
      <w:proofErr w:type="spellStart"/>
      <w:r w:rsidRPr="006C46AB">
        <w:rPr>
          <w:rFonts w:asciiTheme="majorHAnsi" w:hAnsiTheme="majorHAnsi"/>
        </w:rPr>
        <w:t>immunoreactivity</w:t>
      </w:r>
      <w:proofErr w:type="spellEnd"/>
      <w:r w:rsidRPr="006C46AB">
        <w:rPr>
          <w:rFonts w:asciiTheme="majorHAnsi" w:hAnsiTheme="majorHAnsi"/>
        </w:rPr>
        <w:t xml:space="preserve"> is disorganised along track of cell loss at a villus tip (arrow) with exposure of the basement membrane; and the corresponding histology image is shown in F. </w:t>
      </w:r>
    </w:p>
    <w:p w14:paraId="70BCD41A" w14:textId="77777777" w:rsidR="00FC7600" w:rsidRPr="006C46AB" w:rsidRDefault="00FC7600" w:rsidP="0025423E">
      <w:pPr>
        <w:widowControl w:val="0"/>
        <w:spacing w:line="360" w:lineRule="auto"/>
        <w:rPr>
          <w:rFonts w:asciiTheme="majorHAnsi" w:hAnsiTheme="majorHAnsi"/>
        </w:rPr>
      </w:pPr>
    </w:p>
    <w:p w14:paraId="3B1D0275" w14:textId="3503F8CF" w:rsidR="003123FC" w:rsidRPr="006C46AB" w:rsidRDefault="00110B08" w:rsidP="0025423E">
      <w:pPr>
        <w:widowControl w:val="0"/>
        <w:spacing w:line="360" w:lineRule="auto"/>
        <w:rPr>
          <w:rFonts w:asciiTheme="majorHAnsi" w:hAnsiTheme="majorHAnsi"/>
          <w:i/>
        </w:rPr>
      </w:pPr>
      <w:proofErr w:type="spellStart"/>
      <w:r w:rsidRPr="006C46AB">
        <w:rPr>
          <w:rFonts w:asciiTheme="majorHAnsi" w:hAnsiTheme="majorHAnsi"/>
          <w:i/>
        </w:rPr>
        <w:t>Immunohistochemical</w:t>
      </w:r>
      <w:proofErr w:type="spellEnd"/>
      <w:r w:rsidRPr="006C46AB">
        <w:rPr>
          <w:rFonts w:asciiTheme="majorHAnsi" w:hAnsiTheme="majorHAnsi"/>
          <w:i/>
        </w:rPr>
        <w:t xml:space="preserve"> analysis of claudin 4 expression</w:t>
      </w:r>
    </w:p>
    <w:p w14:paraId="07CC7212" w14:textId="0D9AAEE7" w:rsidR="007A4464" w:rsidRPr="006C46AB" w:rsidRDefault="00110B08" w:rsidP="003B5DCF">
      <w:pPr>
        <w:spacing w:line="360" w:lineRule="auto"/>
        <w:rPr>
          <w:rFonts w:asciiTheme="majorHAnsi" w:hAnsiTheme="majorHAnsi"/>
        </w:rPr>
      </w:pPr>
      <w:r w:rsidRPr="006C46AB">
        <w:rPr>
          <w:rFonts w:asciiTheme="majorHAnsi" w:hAnsiTheme="majorHAnsi"/>
        </w:rPr>
        <w:t>Ha</w:t>
      </w:r>
      <w:r w:rsidR="006253DB" w:rsidRPr="006C46AB">
        <w:rPr>
          <w:rFonts w:asciiTheme="majorHAnsi" w:hAnsiTheme="majorHAnsi"/>
        </w:rPr>
        <w:t xml:space="preserve">ving identified epithelial </w:t>
      </w:r>
      <w:r w:rsidR="00B20FD7" w:rsidRPr="006C46AB">
        <w:rPr>
          <w:rFonts w:asciiTheme="majorHAnsi" w:hAnsiTheme="majorHAnsi"/>
        </w:rPr>
        <w:t>defect</w:t>
      </w:r>
      <w:r w:rsidRPr="006C46AB">
        <w:rPr>
          <w:rFonts w:asciiTheme="majorHAnsi" w:hAnsiTheme="majorHAnsi"/>
        </w:rPr>
        <w:t xml:space="preserve">s using CLE, and having identified that some leakage occurred in the absence of detectable epithelial </w:t>
      </w:r>
      <w:r w:rsidR="00B20FD7" w:rsidRPr="006C46AB">
        <w:rPr>
          <w:rFonts w:asciiTheme="majorHAnsi" w:hAnsiTheme="majorHAnsi"/>
        </w:rPr>
        <w:t>defect</w:t>
      </w:r>
      <w:r w:rsidRPr="006C46AB">
        <w:rPr>
          <w:rFonts w:asciiTheme="majorHAnsi" w:hAnsiTheme="majorHAnsi"/>
        </w:rPr>
        <w:t>s, we then</w:t>
      </w:r>
      <w:r w:rsidR="0069370A" w:rsidRPr="006C46AB">
        <w:rPr>
          <w:rFonts w:asciiTheme="majorHAnsi" w:hAnsiTheme="majorHAnsi"/>
        </w:rPr>
        <w:t xml:space="preserve"> analysed tight junction integrity and distribution using staining of claudin 4, a </w:t>
      </w:r>
      <w:r w:rsidR="00FE21ED" w:rsidRPr="006C46AB">
        <w:rPr>
          <w:rFonts w:asciiTheme="majorHAnsi" w:hAnsiTheme="majorHAnsi"/>
        </w:rPr>
        <w:t xml:space="preserve">tight junction </w:t>
      </w:r>
      <w:r w:rsidR="0069370A" w:rsidRPr="006C46AB">
        <w:rPr>
          <w:rFonts w:asciiTheme="majorHAnsi" w:hAnsiTheme="majorHAnsi"/>
        </w:rPr>
        <w:t>protein</w:t>
      </w:r>
      <w:r w:rsidR="00382F97" w:rsidRPr="006C46AB">
        <w:rPr>
          <w:rFonts w:asciiTheme="majorHAnsi" w:hAnsiTheme="majorHAnsi"/>
          <w:vertAlign w:val="superscript"/>
        </w:rPr>
        <w:t>2</w:t>
      </w:r>
      <w:r w:rsidR="00251E14" w:rsidRPr="006C46AB">
        <w:rPr>
          <w:rFonts w:asciiTheme="majorHAnsi" w:hAnsiTheme="majorHAnsi"/>
          <w:vertAlign w:val="superscript"/>
        </w:rPr>
        <w:t>1,22</w:t>
      </w:r>
      <w:r w:rsidR="0069370A" w:rsidRPr="006C46AB">
        <w:rPr>
          <w:rFonts w:asciiTheme="majorHAnsi" w:hAnsiTheme="majorHAnsi"/>
        </w:rPr>
        <w:t xml:space="preserve">. </w:t>
      </w:r>
      <w:r w:rsidR="00FE21ED" w:rsidRPr="006C46AB">
        <w:rPr>
          <w:rFonts w:asciiTheme="majorHAnsi" w:hAnsiTheme="majorHAnsi"/>
        </w:rPr>
        <w:t>We have previously demonstrated that tight junction proteins redistribute in “funnels” around shedding cells to seal the epithelium at sites of cell shedding</w:t>
      </w:r>
      <w:r w:rsidR="003C5179" w:rsidRPr="006C46AB">
        <w:rPr>
          <w:rFonts w:asciiTheme="majorHAnsi" w:hAnsiTheme="majorHAnsi"/>
          <w:vertAlign w:val="superscript"/>
        </w:rPr>
        <w:t>32,33</w:t>
      </w:r>
      <w:r w:rsidR="00FE21ED" w:rsidRPr="006C46AB">
        <w:rPr>
          <w:rFonts w:asciiTheme="majorHAnsi" w:hAnsiTheme="majorHAnsi"/>
        </w:rPr>
        <w:t>. As with other tight junction proteins previously studied</w:t>
      </w:r>
      <w:r w:rsidR="00C638FF" w:rsidRPr="006C46AB">
        <w:rPr>
          <w:rFonts w:asciiTheme="majorHAnsi" w:hAnsiTheme="majorHAnsi"/>
        </w:rPr>
        <w:t>,</w:t>
      </w:r>
      <w:r w:rsidR="00FE21ED" w:rsidRPr="006C46AB">
        <w:rPr>
          <w:rFonts w:asciiTheme="majorHAnsi" w:hAnsiTheme="majorHAnsi"/>
        </w:rPr>
        <w:t xml:space="preserve"> claudin</w:t>
      </w:r>
      <w:r w:rsidR="008D5177" w:rsidRPr="006C46AB">
        <w:rPr>
          <w:rFonts w:asciiTheme="majorHAnsi" w:hAnsiTheme="majorHAnsi"/>
        </w:rPr>
        <w:t xml:space="preserve"> </w:t>
      </w:r>
      <w:r w:rsidR="00FE21ED" w:rsidRPr="006C46AB">
        <w:rPr>
          <w:rFonts w:asciiTheme="majorHAnsi" w:hAnsiTheme="majorHAnsi"/>
        </w:rPr>
        <w:t xml:space="preserve">4 funnels </w:t>
      </w:r>
      <w:r w:rsidR="003B5DCF" w:rsidRPr="006C46AB">
        <w:rPr>
          <w:rFonts w:asciiTheme="majorHAnsi" w:hAnsiTheme="majorHAnsi"/>
        </w:rPr>
        <w:t>were</w:t>
      </w:r>
      <w:r w:rsidR="00FE21ED" w:rsidRPr="006C46AB">
        <w:rPr>
          <w:rFonts w:asciiTheme="majorHAnsi" w:hAnsiTheme="majorHAnsi"/>
        </w:rPr>
        <w:t xml:space="preserve"> detec</w:t>
      </w:r>
      <w:r w:rsidR="00C638FF" w:rsidRPr="006C46AB">
        <w:rPr>
          <w:rFonts w:asciiTheme="majorHAnsi" w:hAnsiTheme="majorHAnsi"/>
        </w:rPr>
        <w:t>ted at sites of cell shedding and in epithelial sheets that appeared to have</w:t>
      </w:r>
      <w:r w:rsidR="00FE21ED" w:rsidRPr="006C46AB">
        <w:rPr>
          <w:rFonts w:asciiTheme="majorHAnsi" w:hAnsiTheme="majorHAnsi"/>
        </w:rPr>
        <w:t xml:space="preserve"> recently detached from villus epithe</w:t>
      </w:r>
      <w:r w:rsidR="002C4A20" w:rsidRPr="006C46AB">
        <w:rPr>
          <w:rFonts w:asciiTheme="majorHAnsi" w:hAnsiTheme="majorHAnsi"/>
        </w:rPr>
        <w:t>lium (Figure 3</w:t>
      </w:r>
      <w:r w:rsidR="00B22B7A" w:rsidRPr="006C46AB">
        <w:rPr>
          <w:rFonts w:asciiTheme="majorHAnsi" w:hAnsiTheme="majorHAnsi"/>
        </w:rPr>
        <w:t xml:space="preserve">, Figure </w:t>
      </w:r>
      <w:r w:rsidR="00CF301D" w:rsidRPr="006C46AB">
        <w:rPr>
          <w:rFonts w:asciiTheme="majorHAnsi" w:hAnsiTheme="majorHAnsi"/>
        </w:rPr>
        <w:t>S4</w:t>
      </w:r>
      <w:r w:rsidR="0030708A" w:rsidRPr="006C46AB">
        <w:rPr>
          <w:rFonts w:asciiTheme="majorHAnsi" w:hAnsiTheme="majorHAnsi"/>
        </w:rPr>
        <w:t>B,</w:t>
      </w:r>
      <w:r w:rsidR="00B22B7A" w:rsidRPr="006C46AB">
        <w:rPr>
          <w:rFonts w:asciiTheme="majorHAnsi" w:hAnsiTheme="majorHAnsi"/>
        </w:rPr>
        <w:t>E</w:t>
      </w:r>
      <w:r w:rsidR="00C638FF" w:rsidRPr="006C46AB">
        <w:rPr>
          <w:rFonts w:asciiTheme="majorHAnsi" w:hAnsiTheme="majorHAnsi"/>
        </w:rPr>
        <w:t>). Where more than</w:t>
      </w:r>
      <w:r w:rsidR="00FE21ED" w:rsidRPr="006C46AB">
        <w:rPr>
          <w:rFonts w:asciiTheme="majorHAnsi" w:hAnsiTheme="majorHAnsi"/>
        </w:rPr>
        <w:t xml:space="preserve"> one adjacent cell is shed the redistribution of claudin-4 and other tight junction proteins are no longer able to seal the epithelial monolayer</w:t>
      </w:r>
      <w:r w:rsidR="00B22B7A" w:rsidRPr="006C46AB">
        <w:rPr>
          <w:rFonts w:asciiTheme="majorHAnsi" w:hAnsiTheme="majorHAnsi"/>
        </w:rPr>
        <w:t xml:space="preserve"> (Figure 2E</w:t>
      </w:r>
      <w:r w:rsidR="0030708A" w:rsidRPr="006C46AB">
        <w:rPr>
          <w:rFonts w:asciiTheme="majorHAnsi" w:hAnsiTheme="majorHAnsi"/>
        </w:rPr>
        <w:t xml:space="preserve">, </w:t>
      </w:r>
      <w:r w:rsidR="00C75D08" w:rsidRPr="006C46AB">
        <w:rPr>
          <w:rFonts w:asciiTheme="majorHAnsi" w:hAnsiTheme="majorHAnsi"/>
        </w:rPr>
        <w:t>F</w:t>
      </w:r>
      <w:r w:rsidR="0030708A" w:rsidRPr="006C46AB">
        <w:rPr>
          <w:rFonts w:asciiTheme="majorHAnsi" w:hAnsiTheme="majorHAnsi"/>
        </w:rPr>
        <w:t xml:space="preserve">igure </w:t>
      </w:r>
      <w:r w:rsidR="00CF301D" w:rsidRPr="006C46AB">
        <w:rPr>
          <w:rFonts w:asciiTheme="majorHAnsi" w:hAnsiTheme="majorHAnsi"/>
        </w:rPr>
        <w:t>S4</w:t>
      </w:r>
      <w:r w:rsidR="0030708A" w:rsidRPr="006C46AB">
        <w:rPr>
          <w:rFonts w:asciiTheme="majorHAnsi" w:hAnsiTheme="majorHAnsi"/>
        </w:rPr>
        <w:t>B,E</w:t>
      </w:r>
      <w:r w:rsidR="00B22B7A" w:rsidRPr="006C46AB">
        <w:rPr>
          <w:rFonts w:asciiTheme="majorHAnsi" w:hAnsiTheme="majorHAnsi"/>
        </w:rPr>
        <w:t>)</w:t>
      </w:r>
      <w:r w:rsidR="00FE21ED" w:rsidRPr="006C46AB">
        <w:rPr>
          <w:rFonts w:asciiTheme="majorHAnsi" w:hAnsiTheme="majorHAnsi"/>
        </w:rPr>
        <w:t>.</w:t>
      </w:r>
      <w:r w:rsidR="00C638FF" w:rsidRPr="006C46AB">
        <w:rPr>
          <w:rFonts w:asciiTheme="majorHAnsi" w:hAnsiTheme="majorHAnsi"/>
        </w:rPr>
        <w:t xml:space="preserve"> </w:t>
      </w:r>
      <w:r w:rsidR="00090E6D" w:rsidRPr="006C46AB">
        <w:rPr>
          <w:rFonts w:asciiTheme="majorHAnsi" w:hAnsiTheme="majorHAnsi"/>
        </w:rPr>
        <w:t>There was no difference in expression between HIV infected and uninfected tissue.</w:t>
      </w:r>
      <w:r w:rsidR="00D65167" w:rsidRPr="006C46AB">
        <w:rPr>
          <w:rFonts w:asciiTheme="majorHAnsi" w:hAnsiTheme="majorHAnsi"/>
        </w:rPr>
        <w:t xml:space="preserve"> </w:t>
      </w:r>
    </w:p>
    <w:p w14:paraId="30EA887C" w14:textId="77777777" w:rsidR="00615E33" w:rsidRPr="006C46AB" w:rsidRDefault="00615E33" w:rsidP="0025423E">
      <w:pPr>
        <w:widowControl w:val="0"/>
        <w:spacing w:line="360" w:lineRule="auto"/>
        <w:rPr>
          <w:rFonts w:asciiTheme="majorHAnsi" w:hAnsiTheme="majorHAnsi"/>
        </w:rPr>
      </w:pPr>
    </w:p>
    <w:p w14:paraId="760AC334" w14:textId="77777777" w:rsidR="00FC7600" w:rsidRPr="006C46AB" w:rsidRDefault="00FC7600" w:rsidP="00FC7600">
      <w:pPr>
        <w:widowControl w:val="0"/>
        <w:spacing w:line="360" w:lineRule="auto"/>
        <w:rPr>
          <w:rFonts w:asciiTheme="majorHAnsi" w:hAnsiTheme="majorHAnsi"/>
        </w:rPr>
      </w:pPr>
      <w:r w:rsidRPr="006C46AB">
        <w:rPr>
          <w:rFonts w:asciiTheme="majorHAnsi" w:hAnsiTheme="majorHAnsi"/>
          <w:b/>
        </w:rPr>
        <w:t>Figure 3</w:t>
      </w:r>
      <w:r w:rsidRPr="006C46AB">
        <w:rPr>
          <w:rFonts w:asciiTheme="majorHAnsi" w:hAnsiTheme="majorHAnsi"/>
        </w:rPr>
        <w:t xml:space="preserve"> A-D Four images from the same participant showing complete loss of epithelial integrity even though the mucosa appeared normal at endoscopy. In A, a loss of epithelial continuity is apparent at several points (arrows) in a CLE image. In B, funnels of claudin 4 are visible (arrows) at the point of cell shedding from the epithelium</w:t>
      </w:r>
      <w:r w:rsidRPr="006C46AB">
        <w:rPr>
          <w:rFonts w:asciiTheme="majorHAnsi" w:hAnsiTheme="majorHAnsi"/>
          <w:vertAlign w:val="superscript"/>
        </w:rPr>
        <w:t>32</w:t>
      </w:r>
      <w:r w:rsidRPr="006C46AB">
        <w:rPr>
          <w:rFonts w:asciiTheme="majorHAnsi" w:hAnsiTheme="majorHAnsi"/>
        </w:rPr>
        <w:t xml:space="preserve">, but non-detaching epithelium displays less </w:t>
      </w:r>
      <w:proofErr w:type="spellStart"/>
      <w:r w:rsidRPr="006C46AB">
        <w:rPr>
          <w:rFonts w:asciiTheme="majorHAnsi" w:hAnsiTheme="majorHAnsi"/>
        </w:rPr>
        <w:t>immunoreactivity</w:t>
      </w:r>
      <w:proofErr w:type="spellEnd"/>
      <w:r w:rsidRPr="006C46AB">
        <w:rPr>
          <w:rFonts w:asciiTheme="majorHAnsi" w:hAnsiTheme="majorHAnsi"/>
        </w:rPr>
        <w:t xml:space="preserve">. In C, complete epithelial detachment is apparent. In D, increased claudin 4 </w:t>
      </w:r>
      <w:proofErr w:type="spellStart"/>
      <w:r w:rsidRPr="006C46AB">
        <w:rPr>
          <w:rFonts w:asciiTheme="majorHAnsi" w:hAnsiTheme="majorHAnsi"/>
        </w:rPr>
        <w:t>immunoreactivity</w:t>
      </w:r>
      <w:proofErr w:type="spellEnd"/>
      <w:r w:rsidRPr="006C46AB">
        <w:rPr>
          <w:rFonts w:asciiTheme="majorHAnsi" w:hAnsiTheme="majorHAnsi"/>
        </w:rPr>
        <w:t xml:space="preserve"> is seen in the detaching epithelium compared to the intact epithelium, with at least one prominent funnel (arrow).</w:t>
      </w:r>
    </w:p>
    <w:p w14:paraId="0F9C30DA" w14:textId="77777777" w:rsidR="00FC7600" w:rsidRPr="006C46AB" w:rsidRDefault="00FC7600" w:rsidP="0025423E">
      <w:pPr>
        <w:widowControl w:val="0"/>
        <w:spacing w:line="360" w:lineRule="auto"/>
        <w:rPr>
          <w:rFonts w:asciiTheme="majorHAnsi" w:hAnsiTheme="majorHAnsi"/>
        </w:rPr>
      </w:pPr>
    </w:p>
    <w:p w14:paraId="79A6096C" w14:textId="185D8251" w:rsidR="00EF1E60" w:rsidRPr="006C46AB" w:rsidRDefault="00EF1E60" w:rsidP="0025423E">
      <w:pPr>
        <w:widowControl w:val="0"/>
        <w:spacing w:line="360" w:lineRule="auto"/>
        <w:rPr>
          <w:rFonts w:asciiTheme="majorHAnsi" w:hAnsiTheme="majorHAnsi"/>
          <w:i/>
        </w:rPr>
      </w:pPr>
      <w:r w:rsidRPr="006C46AB">
        <w:rPr>
          <w:rFonts w:asciiTheme="majorHAnsi" w:hAnsiTheme="majorHAnsi"/>
          <w:i/>
        </w:rPr>
        <w:t>Bacterial translocation</w:t>
      </w:r>
    </w:p>
    <w:p w14:paraId="3D4DC6C0" w14:textId="65B41BF0" w:rsidR="00FD3DD2" w:rsidRPr="006C46AB" w:rsidRDefault="00065ABC" w:rsidP="0025423E">
      <w:pPr>
        <w:widowControl w:val="0"/>
        <w:spacing w:line="360" w:lineRule="auto"/>
        <w:rPr>
          <w:rFonts w:asciiTheme="majorHAnsi" w:hAnsiTheme="majorHAnsi"/>
        </w:rPr>
      </w:pPr>
      <w:r w:rsidRPr="006C46AB">
        <w:rPr>
          <w:rFonts w:asciiTheme="majorHAnsi" w:hAnsiTheme="majorHAnsi"/>
        </w:rPr>
        <w:t>P</w:t>
      </w:r>
      <w:r w:rsidR="0005445F" w:rsidRPr="006C46AB">
        <w:rPr>
          <w:rFonts w:asciiTheme="majorHAnsi" w:hAnsiTheme="majorHAnsi"/>
        </w:rPr>
        <w:t xml:space="preserve">lasma LPS was </w:t>
      </w:r>
      <w:r w:rsidRPr="006C46AB">
        <w:rPr>
          <w:rFonts w:asciiTheme="majorHAnsi" w:hAnsiTheme="majorHAnsi"/>
        </w:rPr>
        <w:t>measured to</w:t>
      </w:r>
      <w:r w:rsidR="0005445F" w:rsidRPr="006C46AB">
        <w:rPr>
          <w:rFonts w:asciiTheme="majorHAnsi" w:hAnsiTheme="majorHAnsi"/>
        </w:rPr>
        <w:t xml:space="preserve"> </w:t>
      </w:r>
      <w:r w:rsidRPr="006C46AB">
        <w:rPr>
          <w:rFonts w:asciiTheme="majorHAnsi" w:hAnsiTheme="majorHAnsi"/>
        </w:rPr>
        <w:t>gauge</w:t>
      </w:r>
      <w:r w:rsidR="0005445F" w:rsidRPr="006C46AB">
        <w:rPr>
          <w:rFonts w:asciiTheme="majorHAnsi" w:hAnsiTheme="majorHAnsi"/>
        </w:rPr>
        <w:t xml:space="preserve"> </w:t>
      </w:r>
      <w:r w:rsidRPr="006C46AB">
        <w:rPr>
          <w:rFonts w:asciiTheme="majorHAnsi" w:hAnsiTheme="majorHAnsi"/>
        </w:rPr>
        <w:t xml:space="preserve">bacterial translocation </w:t>
      </w:r>
      <w:r w:rsidR="0005445F" w:rsidRPr="006C46AB">
        <w:rPr>
          <w:rFonts w:asciiTheme="majorHAnsi" w:hAnsiTheme="majorHAnsi"/>
        </w:rPr>
        <w:t>(Table</w:t>
      </w:r>
      <w:r w:rsidR="002C4A20" w:rsidRPr="006C46AB">
        <w:rPr>
          <w:rFonts w:asciiTheme="majorHAnsi" w:hAnsiTheme="majorHAnsi"/>
        </w:rPr>
        <w:t xml:space="preserve"> 2</w:t>
      </w:r>
      <w:r w:rsidR="0005445F" w:rsidRPr="006C46AB">
        <w:rPr>
          <w:rFonts w:asciiTheme="majorHAnsi" w:hAnsiTheme="majorHAnsi"/>
        </w:rPr>
        <w:t>). LPS was detectable in all samples</w:t>
      </w:r>
      <w:r w:rsidR="00CF301D" w:rsidRPr="006C46AB">
        <w:rPr>
          <w:rFonts w:asciiTheme="majorHAnsi" w:hAnsiTheme="majorHAnsi"/>
        </w:rPr>
        <w:t xml:space="preserve">; </w:t>
      </w:r>
      <w:r w:rsidR="009B425E" w:rsidRPr="006C46AB">
        <w:rPr>
          <w:rFonts w:asciiTheme="majorHAnsi" w:hAnsiTheme="majorHAnsi"/>
        </w:rPr>
        <w:t>it was unaffected by HIV status, whereas two of the indirect markers (LBP and CRP) were higher in HIV seropositive participants (Table 2)</w:t>
      </w:r>
      <w:r w:rsidR="00F82EC1" w:rsidRPr="006C46AB">
        <w:rPr>
          <w:rFonts w:asciiTheme="majorHAnsi" w:hAnsiTheme="majorHAnsi"/>
        </w:rPr>
        <w:t>.</w:t>
      </w:r>
      <w:r w:rsidR="0005445F" w:rsidRPr="006C46AB">
        <w:rPr>
          <w:rFonts w:asciiTheme="majorHAnsi" w:hAnsiTheme="majorHAnsi"/>
        </w:rPr>
        <w:t xml:space="preserve"> </w:t>
      </w:r>
      <w:r w:rsidR="009E1B11" w:rsidRPr="006C46AB">
        <w:rPr>
          <w:rFonts w:asciiTheme="majorHAnsi" w:hAnsiTheme="majorHAnsi"/>
        </w:rPr>
        <w:t>Regression m</w:t>
      </w:r>
      <w:r w:rsidR="00393013" w:rsidRPr="006C46AB">
        <w:rPr>
          <w:rFonts w:asciiTheme="majorHAnsi" w:hAnsiTheme="majorHAnsi"/>
        </w:rPr>
        <w:t xml:space="preserve">odels were constructed including </w:t>
      </w:r>
      <w:r w:rsidR="002C4A20" w:rsidRPr="006C46AB">
        <w:rPr>
          <w:rFonts w:asciiTheme="majorHAnsi" w:hAnsiTheme="majorHAnsi"/>
        </w:rPr>
        <w:t>all the CLE measurements</w:t>
      </w:r>
      <w:r w:rsidR="009E1B11" w:rsidRPr="006C46AB">
        <w:rPr>
          <w:rFonts w:asciiTheme="majorHAnsi" w:hAnsiTheme="majorHAnsi"/>
        </w:rPr>
        <w:t xml:space="preserve"> together with </w:t>
      </w:r>
      <w:r w:rsidR="00393013" w:rsidRPr="006C46AB">
        <w:rPr>
          <w:rFonts w:asciiTheme="majorHAnsi" w:hAnsiTheme="majorHAnsi"/>
        </w:rPr>
        <w:t xml:space="preserve">gastric pH, FABP, </w:t>
      </w:r>
      <w:r w:rsidR="009E1B11" w:rsidRPr="006C46AB">
        <w:rPr>
          <w:rFonts w:asciiTheme="majorHAnsi" w:hAnsiTheme="majorHAnsi"/>
        </w:rPr>
        <w:t xml:space="preserve">and </w:t>
      </w:r>
      <w:r w:rsidR="00393013" w:rsidRPr="006C46AB">
        <w:rPr>
          <w:rFonts w:asciiTheme="majorHAnsi" w:hAnsiTheme="majorHAnsi"/>
        </w:rPr>
        <w:t>GLP-2</w:t>
      </w:r>
      <w:r w:rsidR="009E1B11" w:rsidRPr="006C46AB">
        <w:rPr>
          <w:rFonts w:asciiTheme="majorHAnsi" w:hAnsiTheme="majorHAnsi"/>
        </w:rPr>
        <w:t>,</w:t>
      </w:r>
      <w:r w:rsidR="00C567A0" w:rsidRPr="006C46AB">
        <w:rPr>
          <w:rFonts w:asciiTheme="majorHAnsi" w:hAnsiTheme="majorHAnsi"/>
        </w:rPr>
        <w:t xml:space="preserve"> but without morphometric measurements</w:t>
      </w:r>
      <w:r w:rsidR="00393013" w:rsidRPr="006C46AB">
        <w:rPr>
          <w:rFonts w:asciiTheme="majorHAnsi" w:hAnsiTheme="majorHAnsi"/>
        </w:rPr>
        <w:t>. In the regression models of log-transformed LPS, cell shedding (</w:t>
      </w:r>
      <w:r w:rsidR="00393013" w:rsidRPr="006C46AB">
        <w:rPr>
          <w:rFonts w:ascii="Symbol" w:hAnsi="Symbol"/>
        </w:rPr>
        <w:t></w:t>
      </w:r>
      <w:r w:rsidR="00393013" w:rsidRPr="006C46AB">
        <w:rPr>
          <w:rFonts w:asciiTheme="majorHAnsi" w:hAnsiTheme="majorHAnsi"/>
        </w:rPr>
        <w:t xml:space="preserve"> = 0.83, n=43; </w:t>
      </w:r>
      <w:r w:rsidR="00393013" w:rsidRPr="006C46AB">
        <w:rPr>
          <w:rFonts w:asciiTheme="majorHAnsi" w:hAnsiTheme="majorHAnsi"/>
          <w:i/>
        </w:rPr>
        <w:t>P</w:t>
      </w:r>
      <w:r w:rsidR="00393013" w:rsidRPr="006C46AB">
        <w:rPr>
          <w:rFonts w:asciiTheme="majorHAnsi" w:hAnsiTheme="majorHAnsi"/>
        </w:rPr>
        <w:t>=0.035) and GLP-2 (</w:t>
      </w:r>
      <w:r w:rsidR="00393013" w:rsidRPr="006C46AB">
        <w:rPr>
          <w:rFonts w:ascii="Symbol" w:hAnsi="Symbol"/>
        </w:rPr>
        <w:t></w:t>
      </w:r>
      <w:r w:rsidR="00393013" w:rsidRPr="006C46AB">
        <w:rPr>
          <w:rFonts w:asciiTheme="majorHAnsi" w:hAnsiTheme="majorHAnsi"/>
        </w:rPr>
        <w:t xml:space="preserve"> = -0.13, n=43; </w:t>
      </w:r>
      <w:r w:rsidR="00393013" w:rsidRPr="006C46AB">
        <w:rPr>
          <w:rFonts w:asciiTheme="majorHAnsi" w:hAnsiTheme="majorHAnsi"/>
          <w:i/>
        </w:rPr>
        <w:t>P</w:t>
      </w:r>
      <w:r w:rsidR="00393013" w:rsidRPr="006C46AB">
        <w:rPr>
          <w:rFonts w:asciiTheme="majorHAnsi" w:hAnsiTheme="majorHAnsi"/>
        </w:rPr>
        <w:t xml:space="preserve">=0.007) were associated with </w:t>
      </w:r>
      <w:r w:rsidRPr="006C46AB">
        <w:rPr>
          <w:rFonts w:asciiTheme="majorHAnsi" w:hAnsiTheme="majorHAnsi"/>
        </w:rPr>
        <w:t xml:space="preserve">LPS </w:t>
      </w:r>
      <w:r w:rsidR="004E326C" w:rsidRPr="006C46AB">
        <w:rPr>
          <w:rFonts w:asciiTheme="majorHAnsi" w:hAnsiTheme="majorHAnsi"/>
        </w:rPr>
        <w:t>in the final model</w:t>
      </w:r>
      <w:r w:rsidR="00851320" w:rsidRPr="006C46AB">
        <w:rPr>
          <w:rFonts w:asciiTheme="majorHAnsi" w:hAnsiTheme="majorHAnsi"/>
        </w:rPr>
        <w:t xml:space="preserve"> (univariat</w:t>
      </w:r>
      <w:r w:rsidR="00A70F34" w:rsidRPr="006C46AB">
        <w:rPr>
          <w:rFonts w:asciiTheme="majorHAnsi" w:hAnsiTheme="majorHAnsi"/>
        </w:rPr>
        <w:t xml:space="preserve">e scatter plots </w:t>
      </w:r>
      <w:r w:rsidR="009E1B11" w:rsidRPr="006C46AB">
        <w:rPr>
          <w:rFonts w:asciiTheme="majorHAnsi" w:hAnsiTheme="majorHAnsi"/>
        </w:rPr>
        <w:t xml:space="preserve">are </w:t>
      </w:r>
      <w:r w:rsidR="002C4A20" w:rsidRPr="006C46AB">
        <w:rPr>
          <w:rFonts w:asciiTheme="majorHAnsi" w:hAnsiTheme="majorHAnsi"/>
        </w:rPr>
        <w:t>shown in Figure 4</w:t>
      </w:r>
      <w:r w:rsidR="00B519E8" w:rsidRPr="006C46AB">
        <w:rPr>
          <w:rFonts w:asciiTheme="majorHAnsi" w:hAnsiTheme="majorHAnsi"/>
        </w:rPr>
        <w:t>)</w:t>
      </w:r>
      <w:r w:rsidR="00393013" w:rsidRPr="006C46AB">
        <w:rPr>
          <w:rFonts w:asciiTheme="majorHAnsi" w:hAnsiTheme="majorHAnsi"/>
        </w:rPr>
        <w:t>.</w:t>
      </w:r>
      <w:r w:rsidR="004E326C" w:rsidRPr="006C46AB">
        <w:rPr>
          <w:rFonts w:asciiTheme="majorHAnsi" w:hAnsiTheme="majorHAnsi"/>
        </w:rPr>
        <w:t xml:space="preserve"> </w:t>
      </w:r>
      <w:r w:rsidR="00B519E8" w:rsidRPr="006C46AB">
        <w:rPr>
          <w:rFonts w:asciiTheme="majorHAnsi" w:hAnsiTheme="majorHAnsi"/>
        </w:rPr>
        <w:t>Thus, low circulating GLP-2 concentrations were associated with very high levels of translocation (Figure 4</w:t>
      </w:r>
      <w:r w:rsidR="00471D45" w:rsidRPr="006C46AB">
        <w:rPr>
          <w:rFonts w:asciiTheme="majorHAnsi" w:hAnsiTheme="majorHAnsi"/>
        </w:rPr>
        <w:t>B</w:t>
      </w:r>
      <w:r w:rsidR="00B519E8" w:rsidRPr="006C46AB">
        <w:rPr>
          <w:rFonts w:asciiTheme="majorHAnsi" w:hAnsiTheme="majorHAnsi"/>
        </w:rPr>
        <w:t>).</w:t>
      </w:r>
      <w:r w:rsidR="00B91CB8" w:rsidRPr="006C46AB">
        <w:rPr>
          <w:rFonts w:asciiTheme="majorHAnsi" w:hAnsiTheme="majorHAnsi"/>
        </w:rPr>
        <w:t xml:space="preserve"> Other </w:t>
      </w:r>
      <w:r w:rsidR="00B20FD7" w:rsidRPr="006C46AB">
        <w:rPr>
          <w:rFonts w:asciiTheme="majorHAnsi" w:hAnsiTheme="majorHAnsi"/>
        </w:rPr>
        <w:t>bio</w:t>
      </w:r>
      <w:r w:rsidR="00B91CB8" w:rsidRPr="006C46AB">
        <w:rPr>
          <w:rFonts w:asciiTheme="majorHAnsi" w:hAnsiTheme="majorHAnsi"/>
        </w:rPr>
        <w:t>markers (</w:t>
      </w:r>
      <w:r w:rsidR="00AB5A4C" w:rsidRPr="006C46AB">
        <w:rPr>
          <w:rFonts w:asciiTheme="majorHAnsi" w:hAnsiTheme="majorHAnsi"/>
        </w:rPr>
        <w:t>CRP, sCD14, CD163, LBP) were not associated with LPS, either in the whole group or stratified by HIV.</w:t>
      </w:r>
      <w:r w:rsidR="0007203C" w:rsidRPr="006C46AB">
        <w:rPr>
          <w:rFonts w:asciiTheme="majorHAnsi" w:hAnsiTheme="majorHAnsi"/>
        </w:rPr>
        <w:t xml:space="preserve"> </w:t>
      </w:r>
    </w:p>
    <w:p w14:paraId="6F653CA7" w14:textId="77777777" w:rsidR="00FD3DD2" w:rsidRPr="006C46AB" w:rsidRDefault="00FD3DD2" w:rsidP="0025423E">
      <w:pPr>
        <w:widowControl w:val="0"/>
        <w:spacing w:line="360" w:lineRule="auto"/>
        <w:rPr>
          <w:rFonts w:asciiTheme="majorHAnsi" w:hAnsiTheme="majorHAnsi"/>
        </w:rPr>
      </w:pPr>
    </w:p>
    <w:p w14:paraId="61585771" w14:textId="77777777" w:rsidR="00FC7600" w:rsidRPr="006C46AB" w:rsidRDefault="00FC7600" w:rsidP="00FC7600">
      <w:pPr>
        <w:widowControl w:val="0"/>
        <w:spacing w:line="360" w:lineRule="auto"/>
        <w:rPr>
          <w:rFonts w:asciiTheme="majorHAnsi" w:hAnsiTheme="majorHAnsi"/>
        </w:rPr>
      </w:pPr>
      <w:r w:rsidRPr="006C46AB">
        <w:rPr>
          <w:rFonts w:asciiTheme="majorHAnsi" w:hAnsiTheme="majorHAnsi"/>
          <w:b/>
        </w:rPr>
        <w:t>Figure 4</w:t>
      </w:r>
      <w:r w:rsidRPr="006C46AB">
        <w:rPr>
          <w:rFonts w:asciiTheme="majorHAnsi" w:hAnsiTheme="majorHAnsi"/>
        </w:rPr>
        <w:t xml:space="preserve"> Lipopolysaccharide concentrations (Endotoxin Units/ml) in plasma were correlated with: (A) cell shedding (</w:t>
      </w:r>
      <w:r w:rsidRPr="006C46AB">
        <w:rPr>
          <w:rFonts w:ascii="Symbol" w:hAnsi="Symbol"/>
        </w:rPr>
        <w:t></w:t>
      </w:r>
      <w:r w:rsidRPr="006C46AB">
        <w:rPr>
          <w:rFonts w:asciiTheme="majorHAnsi" w:hAnsiTheme="majorHAnsi"/>
        </w:rPr>
        <w:t xml:space="preserve"> = 0.83; </w:t>
      </w:r>
      <w:r w:rsidRPr="006C46AB">
        <w:rPr>
          <w:rFonts w:asciiTheme="majorHAnsi" w:hAnsiTheme="majorHAnsi"/>
          <w:i/>
        </w:rPr>
        <w:t>P</w:t>
      </w:r>
      <w:r w:rsidRPr="006C46AB">
        <w:rPr>
          <w:rFonts w:asciiTheme="majorHAnsi" w:hAnsiTheme="majorHAnsi"/>
        </w:rPr>
        <w:t xml:space="preserve"> = 0.035 in the multivariate model); (B) GLP-2 (</w:t>
      </w:r>
      <w:r w:rsidRPr="006C46AB">
        <w:rPr>
          <w:rFonts w:ascii="Symbol" w:hAnsi="Symbol"/>
        </w:rPr>
        <w:t></w:t>
      </w:r>
      <w:r w:rsidRPr="006C46AB">
        <w:rPr>
          <w:rFonts w:asciiTheme="majorHAnsi" w:hAnsiTheme="majorHAnsi"/>
        </w:rPr>
        <w:t xml:space="preserve"> = -0.13; </w:t>
      </w:r>
      <w:r w:rsidRPr="006C46AB">
        <w:rPr>
          <w:rFonts w:asciiTheme="majorHAnsi" w:hAnsiTheme="majorHAnsi"/>
          <w:i/>
        </w:rPr>
        <w:t>P</w:t>
      </w:r>
      <w:r w:rsidRPr="006C46AB">
        <w:rPr>
          <w:rFonts w:asciiTheme="majorHAnsi" w:hAnsiTheme="majorHAnsi"/>
        </w:rPr>
        <w:t xml:space="preserve"> = 0.007 in the multivariate model); and (C) villus surface </w:t>
      </w:r>
      <w:proofErr w:type="spellStart"/>
      <w:r w:rsidRPr="006C46AB">
        <w:rPr>
          <w:rFonts w:asciiTheme="majorHAnsi" w:hAnsiTheme="majorHAnsi"/>
        </w:rPr>
        <w:t>area:volume</w:t>
      </w:r>
      <w:proofErr w:type="spellEnd"/>
      <w:r w:rsidRPr="006C46AB">
        <w:rPr>
          <w:rFonts w:asciiTheme="majorHAnsi" w:hAnsiTheme="majorHAnsi"/>
        </w:rPr>
        <w:t xml:space="preserve"> ratio estimated from </w:t>
      </w:r>
      <w:proofErr w:type="spellStart"/>
      <w:r w:rsidRPr="006C46AB">
        <w:rPr>
          <w:rFonts w:asciiTheme="majorHAnsi" w:hAnsiTheme="majorHAnsi"/>
        </w:rPr>
        <w:t>morphometry</w:t>
      </w:r>
      <w:proofErr w:type="spellEnd"/>
      <w:r w:rsidRPr="006C46AB">
        <w:rPr>
          <w:rFonts w:asciiTheme="majorHAnsi" w:hAnsiTheme="majorHAnsi"/>
        </w:rPr>
        <w:t xml:space="preserve"> of intestinal biopsies. In (C) the data points are shown together with the curve and 95% confidence limits from a fractional polynomial regression model which was significant with 2 degrees (</w:t>
      </w:r>
      <w:r w:rsidRPr="006C46AB">
        <w:rPr>
          <w:rFonts w:asciiTheme="majorHAnsi" w:hAnsiTheme="majorHAnsi"/>
          <w:i/>
        </w:rPr>
        <w:t>P</w:t>
      </w:r>
      <w:r w:rsidRPr="006C46AB">
        <w:rPr>
          <w:rFonts w:asciiTheme="majorHAnsi" w:hAnsiTheme="majorHAnsi"/>
        </w:rPr>
        <w:t xml:space="preserve"> = 0.007 and </w:t>
      </w:r>
      <w:r w:rsidRPr="006C46AB">
        <w:rPr>
          <w:rFonts w:asciiTheme="majorHAnsi" w:hAnsiTheme="majorHAnsi"/>
          <w:i/>
        </w:rPr>
        <w:t>P</w:t>
      </w:r>
      <w:r w:rsidRPr="006C46AB">
        <w:rPr>
          <w:rFonts w:asciiTheme="majorHAnsi" w:hAnsiTheme="majorHAnsi"/>
        </w:rPr>
        <w:t xml:space="preserve"> = 0.025). (D) Polynomial fractional regression plot as in (C) but showing the relationship between zinc uptake and surface </w:t>
      </w:r>
      <w:proofErr w:type="spellStart"/>
      <w:r w:rsidRPr="006C46AB">
        <w:rPr>
          <w:rFonts w:asciiTheme="majorHAnsi" w:hAnsiTheme="majorHAnsi"/>
        </w:rPr>
        <w:t>area:volume</w:t>
      </w:r>
      <w:proofErr w:type="spellEnd"/>
      <w:r w:rsidRPr="006C46AB">
        <w:rPr>
          <w:rFonts w:asciiTheme="majorHAnsi" w:hAnsiTheme="majorHAnsi"/>
        </w:rPr>
        <w:t xml:space="preserve"> ratio.</w:t>
      </w:r>
    </w:p>
    <w:p w14:paraId="357840BD" w14:textId="77777777" w:rsidR="00FC7600" w:rsidRPr="006C46AB" w:rsidRDefault="00FC7600" w:rsidP="0025423E">
      <w:pPr>
        <w:widowControl w:val="0"/>
        <w:spacing w:line="360" w:lineRule="auto"/>
        <w:rPr>
          <w:rFonts w:asciiTheme="majorHAnsi" w:hAnsiTheme="majorHAnsi"/>
        </w:rPr>
      </w:pPr>
    </w:p>
    <w:p w14:paraId="56CA7522" w14:textId="3922D6D6" w:rsidR="004A0881" w:rsidRPr="006C46AB" w:rsidRDefault="004A0881" w:rsidP="0025423E">
      <w:pPr>
        <w:widowControl w:val="0"/>
        <w:spacing w:line="360" w:lineRule="auto"/>
        <w:rPr>
          <w:rFonts w:asciiTheme="majorHAnsi" w:hAnsiTheme="majorHAnsi"/>
        </w:rPr>
      </w:pPr>
      <w:r w:rsidRPr="006C46AB">
        <w:rPr>
          <w:rFonts w:asciiTheme="majorHAnsi" w:hAnsiTheme="majorHAnsi"/>
        </w:rPr>
        <w:t xml:space="preserve">We modelled the relationship between LPS and morphometric measures </w:t>
      </w:r>
      <w:r w:rsidR="009E1B11" w:rsidRPr="006C46AB">
        <w:rPr>
          <w:rFonts w:asciiTheme="majorHAnsi" w:hAnsiTheme="majorHAnsi"/>
        </w:rPr>
        <w:t xml:space="preserve">separately </w:t>
      </w:r>
      <w:r w:rsidRPr="006C46AB">
        <w:rPr>
          <w:rFonts w:asciiTheme="majorHAnsi" w:hAnsiTheme="majorHAnsi"/>
        </w:rPr>
        <w:t>in a multivariable fractional polynomial regression model, and LPS was associated only with villus epithelial perimeter (</w:t>
      </w:r>
      <w:r w:rsidRPr="006C46AB">
        <w:rPr>
          <w:rFonts w:ascii="Symbol" w:hAnsi="Symbol"/>
        </w:rPr>
        <w:t></w:t>
      </w:r>
      <w:r w:rsidRPr="006C46AB">
        <w:rPr>
          <w:rFonts w:asciiTheme="majorHAnsi" w:hAnsiTheme="majorHAnsi"/>
        </w:rPr>
        <w:t xml:space="preserve"> = 10136; </w:t>
      </w:r>
      <w:r w:rsidRPr="006C46AB">
        <w:rPr>
          <w:rFonts w:asciiTheme="majorHAnsi" w:hAnsiTheme="majorHAnsi"/>
          <w:i/>
        </w:rPr>
        <w:t>P</w:t>
      </w:r>
      <w:r w:rsidRPr="006C46AB">
        <w:rPr>
          <w:rFonts w:asciiTheme="majorHAnsi" w:hAnsiTheme="majorHAnsi"/>
        </w:rPr>
        <w:t xml:space="preserve">= 0.01) and villus </w:t>
      </w:r>
      <w:proofErr w:type="spellStart"/>
      <w:r w:rsidRPr="006C46AB">
        <w:rPr>
          <w:rFonts w:asciiTheme="majorHAnsi" w:hAnsiTheme="majorHAnsi"/>
        </w:rPr>
        <w:t>SA:volume</w:t>
      </w:r>
      <w:proofErr w:type="spellEnd"/>
      <w:r w:rsidRPr="006C46AB">
        <w:rPr>
          <w:rFonts w:asciiTheme="majorHAnsi" w:hAnsiTheme="majorHAnsi"/>
        </w:rPr>
        <w:t xml:space="preserve"> ratio (</w:t>
      </w:r>
      <w:r w:rsidRPr="006C46AB">
        <w:rPr>
          <w:rFonts w:ascii="Symbol" w:hAnsi="Symbol"/>
        </w:rPr>
        <w:t></w:t>
      </w:r>
      <w:r w:rsidRPr="006C46AB">
        <w:rPr>
          <w:rFonts w:asciiTheme="majorHAnsi" w:hAnsiTheme="majorHAnsi"/>
        </w:rPr>
        <w:t xml:space="preserve"> = 59006; </w:t>
      </w:r>
      <w:r w:rsidRPr="006C46AB">
        <w:rPr>
          <w:rFonts w:asciiTheme="majorHAnsi" w:hAnsiTheme="majorHAnsi"/>
          <w:i/>
        </w:rPr>
        <w:t>P</w:t>
      </w:r>
      <w:r w:rsidRPr="006C46AB">
        <w:rPr>
          <w:rFonts w:asciiTheme="majorHAnsi" w:hAnsiTheme="majorHAnsi"/>
        </w:rPr>
        <w:t xml:space="preserve">= 0.007). The </w:t>
      </w:r>
      <w:r w:rsidR="00C0785E" w:rsidRPr="006C46AB">
        <w:rPr>
          <w:rFonts w:asciiTheme="majorHAnsi" w:hAnsiTheme="majorHAnsi"/>
        </w:rPr>
        <w:t>relationship between</w:t>
      </w:r>
      <w:r w:rsidR="00AD42C8" w:rsidRPr="006C46AB">
        <w:rPr>
          <w:rFonts w:asciiTheme="majorHAnsi" w:hAnsiTheme="majorHAnsi"/>
        </w:rPr>
        <w:t xml:space="preserve"> LPS </w:t>
      </w:r>
      <w:r w:rsidR="00C0785E" w:rsidRPr="006C46AB">
        <w:rPr>
          <w:rFonts w:asciiTheme="majorHAnsi" w:hAnsiTheme="majorHAnsi"/>
        </w:rPr>
        <w:t>and</w:t>
      </w:r>
      <w:r w:rsidR="00AD42C8" w:rsidRPr="006C46AB">
        <w:rPr>
          <w:rFonts w:asciiTheme="majorHAnsi" w:hAnsiTheme="majorHAnsi"/>
        </w:rPr>
        <w:t xml:space="preserve"> </w:t>
      </w:r>
      <w:r w:rsidRPr="006C46AB">
        <w:rPr>
          <w:rFonts w:asciiTheme="majorHAnsi" w:hAnsiTheme="majorHAnsi"/>
        </w:rPr>
        <w:t xml:space="preserve">villus </w:t>
      </w:r>
      <w:proofErr w:type="spellStart"/>
      <w:r w:rsidRPr="006C46AB">
        <w:rPr>
          <w:rFonts w:asciiTheme="majorHAnsi" w:hAnsiTheme="majorHAnsi"/>
        </w:rPr>
        <w:t>SA:volume</w:t>
      </w:r>
      <w:proofErr w:type="spellEnd"/>
      <w:r w:rsidRPr="006C46AB">
        <w:rPr>
          <w:rFonts w:asciiTheme="majorHAnsi" w:hAnsiTheme="majorHAnsi"/>
        </w:rPr>
        <w:t xml:space="preserve"> ratio </w:t>
      </w:r>
      <w:r w:rsidR="00C0785E" w:rsidRPr="006C46AB">
        <w:rPr>
          <w:rFonts w:asciiTheme="majorHAnsi" w:hAnsiTheme="majorHAnsi"/>
        </w:rPr>
        <w:t xml:space="preserve">was U-shaped and </w:t>
      </w:r>
      <w:r w:rsidRPr="006C46AB">
        <w:rPr>
          <w:rFonts w:asciiTheme="majorHAnsi" w:hAnsiTheme="majorHAnsi"/>
        </w:rPr>
        <w:t xml:space="preserve">significant </w:t>
      </w:r>
      <w:r w:rsidR="002C4A20" w:rsidRPr="006C46AB">
        <w:rPr>
          <w:rFonts w:asciiTheme="majorHAnsi" w:hAnsiTheme="majorHAnsi"/>
        </w:rPr>
        <w:t xml:space="preserve">in </w:t>
      </w:r>
      <w:r w:rsidR="00C0785E" w:rsidRPr="006C46AB">
        <w:rPr>
          <w:rFonts w:asciiTheme="majorHAnsi" w:hAnsiTheme="majorHAnsi"/>
        </w:rPr>
        <w:t>a fractional polynomial regression model</w:t>
      </w:r>
      <w:r w:rsidR="00471D45" w:rsidRPr="006C46AB">
        <w:rPr>
          <w:rFonts w:asciiTheme="majorHAnsi" w:hAnsiTheme="majorHAnsi"/>
        </w:rPr>
        <w:t xml:space="preserve"> (Figure 4C</w:t>
      </w:r>
      <w:r w:rsidRPr="006C46AB">
        <w:rPr>
          <w:rFonts w:asciiTheme="majorHAnsi" w:hAnsiTheme="majorHAnsi"/>
        </w:rPr>
        <w:t xml:space="preserve">). </w:t>
      </w:r>
      <w:r w:rsidR="000D33D5" w:rsidRPr="006C46AB">
        <w:rPr>
          <w:rFonts w:asciiTheme="majorHAnsi" w:hAnsiTheme="majorHAnsi"/>
        </w:rPr>
        <w:t xml:space="preserve">Counter-intuitively, across </w:t>
      </w:r>
      <w:r w:rsidR="00BC7949" w:rsidRPr="006C46AB">
        <w:rPr>
          <w:rFonts w:asciiTheme="majorHAnsi" w:hAnsiTheme="majorHAnsi"/>
        </w:rPr>
        <w:t xml:space="preserve">most of </w:t>
      </w:r>
      <w:r w:rsidR="000D33D5" w:rsidRPr="006C46AB">
        <w:rPr>
          <w:rFonts w:asciiTheme="majorHAnsi" w:hAnsiTheme="majorHAnsi"/>
        </w:rPr>
        <w:t>the range of villus surface area analysed, greater surface area was associated with increased translocation</w:t>
      </w:r>
      <w:r w:rsidR="00B20256" w:rsidRPr="006C46AB">
        <w:rPr>
          <w:rFonts w:asciiTheme="majorHAnsi" w:hAnsiTheme="majorHAnsi"/>
        </w:rPr>
        <w:t xml:space="preserve">, and if a linear regression is used the association is still positive overall </w:t>
      </w:r>
      <w:r w:rsidR="00B20256" w:rsidRPr="006C46AB">
        <w:rPr>
          <w:rFonts w:ascii="Arial" w:hAnsi="Arial" w:cs="Arial"/>
        </w:rPr>
        <w:t>(</w:t>
      </w:r>
      <w:r w:rsidR="00B20256" w:rsidRPr="006C46AB">
        <w:rPr>
          <w:rFonts w:ascii="Symbol" w:hAnsi="Symbol" w:cs="Arial"/>
        </w:rPr>
        <w:t></w:t>
      </w:r>
      <w:r w:rsidR="00B20256" w:rsidRPr="006C46AB">
        <w:rPr>
          <w:rFonts w:ascii="Arial" w:hAnsi="Arial" w:cs="Arial"/>
        </w:rPr>
        <w:t xml:space="preserve"> = 0.46; </w:t>
      </w:r>
      <w:r w:rsidR="00B20256" w:rsidRPr="006C46AB">
        <w:rPr>
          <w:rFonts w:ascii="Arial" w:hAnsi="Arial" w:cs="Arial"/>
          <w:i/>
        </w:rPr>
        <w:t>P</w:t>
      </w:r>
      <w:r w:rsidR="00B20256" w:rsidRPr="006C46AB">
        <w:rPr>
          <w:rFonts w:ascii="Arial" w:hAnsi="Arial" w:cs="Arial"/>
        </w:rPr>
        <w:t>=0.003)</w:t>
      </w:r>
      <w:r w:rsidR="00B20256" w:rsidRPr="006C46AB">
        <w:rPr>
          <w:rFonts w:asciiTheme="majorHAnsi" w:hAnsiTheme="majorHAnsi"/>
        </w:rPr>
        <w:t>, consistent with greater surface area leading to greater levels of translocation</w:t>
      </w:r>
      <w:r w:rsidR="000D33D5" w:rsidRPr="006C46AB">
        <w:rPr>
          <w:rFonts w:asciiTheme="majorHAnsi" w:hAnsiTheme="majorHAnsi"/>
        </w:rPr>
        <w:t>.</w:t>
      </w:r>
      <w:r w:rsidR="00736673" w:rsidRPr="006C46AB">
        <w:rPr>
          <w:rFonts w:asciiTheme="majorHAnsi" w:hAnsiTheme="majorHAnsi"/>
        </w:rPr>
        <w:t xml:space="preserve"> </w:t>
      </w:r>
    </w:p>
    <w:p w14:paraId="105FE686" w14:textId="77777777" w:rsidR="00B91CB8" w:rsidRPr="006C46AB" w:rsidRDefault="00B91CB8" w:rsidP="0025423E">
      <w:pPr>
        <w:widowControl w:val="0"/>
        <w:spacing w:line="360" w:lineRule="auto"/>
        <w:rPr>
          <w:rFonts w:asciiTheme="majorHAnsi" w:hAnsiTheme="majorHAnsi"/>
        </w:rPr>
      </w:pPr>
    </w:p>
    <w:p w14:paraId="6B51EF97" w14:textId="0647B910" w:rsidR="00615E33" w:rsidRPr="006C46AB" w:rsidRDefault="00615E33" w:rsidP="0025423E">
      <w:pPr>
        <w:widowControl w:val="0"/>
        <w:spacing w:line="360" w:lineRule="auto"/>
        <w:rPr>
          <w:rFonts w:asciiTheme="majorHAnsi" w:hAnsiTheme="majorHAnsi"/>
          <w:i/>
        </w:rPr>
      </w:pPr>
      <w:r w:rsidRPr="006C46AB">
        <w:rPr>
          <w:rFonts w:asciiTheme="majorHAnsi" w:hAnsiTheme="majorHAnsi"/>
          <w:i/>
        </w:rPr>
        <w:t xml:space="preserve">Zinc </w:t>
      </w:r>
      <w:r w:rsidR="000D33D5" w:rsidRPr="006C46AB">
        <w:rPr>
          <w:rFonts w:asciiTheme="majorHAnsi" w:hAnsiTheme="majorHAnsi"/>
          <w:i/>
        </w:rPr>
        <w:t>uptake testing</w:t>
      </w:r>
    </w:p>
    <w:p w14:paraId="56AE2DEB" w14:textId="6D122850" w:rsidR="00CB76F4" w:rsidRPr="006C46AB" w:rsidRDefault="00933584" w:rsidP="0025423E">
      <w:pPr>
        <w:widowControl w:val="0"/>
        <w:spacing w:line="360" w:lineRule="auto"/>
        <w:rPr>
          <w:rFonts w:asciiTheme="majorHAnsi" w:hAnsiTheme="majorHAnsi"/>
        </w:rPr>
      </w:pPr>
      <w:r w:rsidRPr="006C46AB">
        <w:rPr>
          <w:rFonts w:asciiTheme="majorHAnsi" w:hAnsiTheme="majorHAnsi"/>
        </w:rPr>
        <w:t xml:space="preserve">Baseline plasma zinc concentrations were low, with median just above the lower limit </w:t>
      </w:r>
      <w:r w:rsidR="002C4A20" w:rsidRPr="006C46AB">
        <w:rPr>
          <w:rFonts w:asciiTheme="majorHAnsi" w:hAnsiTheme="majorHAnsi"/>
        </w:rPr>
        <w:t>of normal concentration (Table 2</w:t>
      </w:r>
      <w:r w:rsidRPr="006C46AB">
        <w:rPr>
          <w:rFonts w:asciiTheme="majorHAnsi" w:hAnsiTheme="majorHAnsi"/>
        </w:rPr>
        <w:t>)</w:t>
      </w:r>
      <w:r w:rsidR="000D33D5" w:rsidRPr="006C46AB">
        <w:rPr>
          <w:rFonts w:asciiTheme="majorHAnsi" w:hAnsiTheme="majorHAnsi"/>
        </w:rPr>
        <w:t>, and</w:t>
      </w:r>
      <w:r w:rsidRPr="006C46AB">
        <w:rPr>
          <w:rFonts w:asciiTheme="majorHAnsi" w:hAnsiTheme="majorHAnsi"/>
        </w:rPr>
        <w:t xml:space="preserve"> 21/48 (44%) participants had plasma concentrations below 11 </w:t>
      </w:r>
      <w:r w:rsidRPr="006C46AB">
        <w:rPr>
          <w:rFonts w:ascii="Symbol" w:hAnsi="Symbol"/>
        </w:rPr>
        <w:t></w:t>
      </w:r>
      <w:proofErr w:type="spellStart"/>
      <w:r w:rsidRPr="006C46AB">
        <w:rPr>
          <w:rFonts w:asciiTheme="majorHAnsi" w:hAnsiTheme="majorHAnsi"/>
        </w:rPr>
        <w:t>mol</w:t>
      </w:r>
      <w:proofErr w:type="spellEnd"/>
      <w:r w:rsidRPr="006C46AB">
        <w:rPr>
          <w:rFonts w:asciiTheme="majorHAnsi" w:hAnsiTheme="majorHAnsi"/>
        </w:rPr>
        <w:t>/l</w:t>
      </w:r>
      <w:r w:rsidR="000D33D5" w:rsidRPr="006C46AB">
        <w:rPr>
          <w:rFonts w:asciiTheme="majorHAnsi" w:hAnsiTheme="majorHAnsi"/>
        </w:rPr>
        <w:t xml:space="preserve"> which are</w:t>
      </w:r>
      <w:r w:rsidRPr="006C46AB">
        <w:rPr>
          <w:rFonts w:asciiTheme="majorHAnsi" w:hAnsiTheme="majorHAnsi"/>
        </w:rPr>
        <w:t xml:space="preserve"> consistent with deficiency. The median increment in plasma zinc at 3 hours was 6.3 </w:t>
      </w:r>
      <w:r w:rsidRPr="006C46AB">
        <w:rPr>
          <w:rFonts w:ascii="Symbol" w:hAnsi="Symbol"/>
        </w:rPr>
        <w:t></w:t>
      </w:r>
      <w:proofErr w:type="spellStart"/>
      <w:r w:rsidRPr="006C46AB">
        <w:rPr>
          <w:rFonts w:asciiTheme="majorHAnsi" w:hAnsiTheme="majorHAnsi"/>
        </w:rPr>
        <w:t>mol</w:t>
      </w:r>
      <w:proofErr w:type="spellEnd"/>
      <w:r w:rsidRPr="006C46AB">
        <w:rPr>
          <w:rFonts w:asciiTheme="majorHAnsi" w:hAnsiTheme="majorHAnsi"/>
        </w:rPr>
        <w:t xml:space="preserve">/l, with 30/47 (64%) having an attenuated rise </w:t>
      </w:r>
      <w:r w:rsidR="00BC7949" w:rsidRPr="006C46AB">
        <w:rPr>
          <w:rFonts w:asciiTheme="majorHAnsi" w:hAnsiTheme="majorHAnsi"/>
        </w:rPr>
        <w:t>(compared to ref 28</w:t>
      </w:r>
      <w:r w:rsidR="00304C2D" w:rsidRPr="006C46AB">
        <w:rPr>
          <w:rFonts w:asciiTheme="majorHAnsi" w:hAnsiTheme="majorHAnsi"/>
        </w:rPr>
        <w:t xml:space="preserve">) </w:t>
      </w:r>
      <w:r w:rsidRPr="006C46AB">
        <w:rPr>
          <w:rFonts w:asciiTheme="majorHAnsi" w:hAnsiTheme="majorHAnsi"/>
        </w:rPr>
        <w:t xml:space="preserve">indicative of impaired net uptake. HIV </w:t>
      </w:r>
      <w:r w:rsidR="000D33D5" w:rsidRPr="006C46AB">
        <w:rPr>
          <w:rFonts w:asciiTheme="majorHAnsi" w:hAnsiTheme="majorHAnsi"/>
        </w:rPr>
        <w:t xml:space="preserve">infection was associated with </w:t>
      </w:r>
      <w:r w:rsidRPr="006C46AB">
        <w:rPr>
          <w:rFonts w:asciiTheme="majorHAnsi" w:hAnsiTheme="majorHAnsi"/>
        </w:rPr>
        <w:t>higher risk of attenuated uptake over 3 hours</w:t>
      </w:r>
      <w:r w:rsidR="000A07BD" w:rsidRPr="006C46AB">
        <w:rPr>
          <w:rFonts w:asciiTheme="majorHAnsi" w:hAnsiTheme="majorHAnsi"/>
        </w:rPr>
        <w:t xml:space="preserve"> (OR 1.6, 95%CI 1.1,2.3, </w:t>
      </w:r>
      <w:r w:rsidR="000A07BD" w:rsidRPr="006C46AB">
        <w:rPr>
          <w:rFonts w:asciiTheme="majorHAnsi" w:hAnsiTheme="majorHAnsi"/>
          <w:i/>
        </w:rPr>
        <w:t>P</w:t>
      </w:r>
      <w:r w:rsidR="000A07BD" w:rsidRPr="006C46AB">
        <w:rPr>
          <w:rFonts w:asciiTheme="majorHAnsi" w:hAnsiTheme="majorHAnsi"/>
        </w:rPr>
        <w:t>=0.05), but baseline zinc concentration did not differ</w:t>
      </w:r>
      <w:r w:rsidR="009B425E" w:rsidRPr="006C46AB">
        <w:rPr>
          <w:rFonts w:asciiTheme="majorHAnsi" w:hAnsiTheme="majorHAnsi"/>
        </w:rPr>
        <w:t xml:space="preserve"> with HIV status</w:t>
      </w:r>
      <w:r w:rsidR="000A07BD" w:rsidRPr="006C46AB">
        <w:rPr>
          <w:rFonts w:asciiTheme="majorHAnsi" w:hAnsiTheme="majorHAnsi"/>
        </w:rPr>
        <w:t>.</w:t>
      </w:r>
      <w:r w:rsidR="00304C2D" w:rsidRPr="006C46AB">
        <w:rPr>
          <w:rFonts w:asciiTheme="majorHAnsi" w:hAnsiTheme="majorHAnsi"/>
        </w:rPr>
        <w:t xml:space="preserve"> </w:t>
      </w:r>
      <w:r w:rsidR="00CB76F4" w:rsidRPr="006C46AB">
        <w:rPr>
          <w:rFonts w:asciiTheme="majorHAnsi" w:hAnsiTheme="majorHAnsi"/>
        </w:rPr>
        <w:t>In multivariate analysis</w:t>
      </w:r>
      <w:r w:rsidR="00304C2D" w:rsidRPr="006C46AB">
        <w:rPr>
          <w:rFonts w:asciiTheme="majorHAnsi" w:hAnsiTheme="majorHAnsi"/>
        </w:rPr>
        <w:t xml:space="preserve"> using all the </w:t>
      </w:r>
      <w:r w:rsidR="00457A75" w:rsidRPr="006C46AB">
        <w:rPr>
          <w:rFonts w:asciiTheme="majorHAnsi" w:hAnsiTheme="majorHAnsi"/>
        </w:rPr>
        <w:t>CLE and potential determinants</w:t>
      </w:r>
      <w:r w:rsidR="002C4A20" w:rsidRPr="006C46AB">
        <w:rPr>
          <w:rFonts w:asciiTheme="majorHAnsi" w:hAnsiTheme="majorHAnsi"/>
        </w:rPr>
        <w:t xml:space="preserve"> used in the translocation regression models</w:t>
      </w:r>
      <w:r w:rsidR="00CB76F4" w:rsidRPr="006C46AB">
        <w:rPr>
          <w:rFonts w:asciiTheme="majorHAnsi" w:hAnsiTheme="majorHAnsi"/>
        </w:rPr>
        <w:t xml:space="preserve">, </w:t>
      </w:r>
      <w:r w:rsidR="00304C2D" w:rsidRPr="006C46AB">
        <w:rPr>
          <w:rFonts w:asciiTheme="majorHAnsi" w:hAnsiTheme="majorHAnsi"/>
        </w:rPr>
        <w:t xml:space="preserve">zinc uptake was associated </w:t>
      </w:r>
      <w:r w:rsidR="00907A5C" w:rsidRPr="006C46AB">
        <w:rPr>
          <w:rFonts w:asciiTheme="majorHAnsi" w:hAnsiTheme="majorHAnsi"/>
        </w:rPr>
        <w:t xml:space="preserve">negatively with </w:t>
      </w:r>
      <w:r w:rsidR="00E904F3" w:rsidRPr="006C46AB">
        <w:rPr>
          <w:rFonts w:asciiTheme="majorHAnsi" w:hAnsiTheme="majorHAnsi"/>
        </w:rPr>
        <w:t>smoking</w:t>
      </w:r>
      <w:r w:rsidR="00907A5C" w:rsidRPr="006C46AB">
        <w:rPr>
          <w:rFonts w:asciiTheme="majorHAnsi" w:hAnsiTheme="majorHAnsi"/>
        </w:rPr>
        <w:t xml:space="preserve"> (</w:t>
      </w:r>
      <w:r w:rsidR="00907A5C" w:rsidRPr="006C46AB">
        <w:rPr>
          <w:rFonts w:ascii="Symbol" w:hAnsi="Symbol"/>
        </w:rPr>
        <w:t></w:t>
      </w:r>
      <w:r w:rsidR="00E904F3" w:rsidRPr="006C46AB">
        <w:rPr>
          <w:rFonts w:asciiTheme="majorHAnsi" w:hAnsiTheme="majorHAnsi"/>
        </w:rPr>
        <w:t xml:space="preserve"> = -11.7</w:t>
      </w:r>
      <w:r w:rsidR="00907A5C" w:rsidRPr="006C46AB">
        <w:rPr>
          <w:rFonts w:asciiTheme="majorHAnsi" w:hAnsiTheme="majorHAnsi"/>
        </w:rPr>
        <w:t xml:space="preserve">; </w:t>
      </w:r>
      <w:r w:rsidR="00907A5C" w:rsidRPr="006C46AB">
        <w:rPr>
          <w:rFonts w:asciiTheme="majorHAnsi" w:hAnsiTheme="majorHAnsi"/>
          <w:i/>
        </w:rPr>
        <w:t>P</w:t>
      </w:r>
      <w:r w:rsidR="00E904F3" w:rsidRPr="006C46AB">
        <w:rPr>
          <w:rFonts w:asciiTheme="majorHAnsi" w:hAnsiTheme="majorHAnsi"/>
        </w:rPr>
        <w:t xml:space="preserve"> = 0.02</w:t>
      </w:r>
      <w:r w:rsidR="00907A5C" w:rsidRPr="006C46AB">
        <w:rPr>
          <w:rFonts w:asciiTheme="majorHAnsi" w:hAnsiTheme="majorHAnsi"/>
        </w:rPr>
        <w:t>) and positively</w:t>
      </w:r>
      <w:r w:rsidR="00304C2D" w:rsidRPr="006C46AB">
        <w:rPr>
          <w:rFonts w:asciiTheme="majorHAnsi" w:hAnsiTheme="majorHAnsi"/>
        </w:rPr>
        <w:t xml:space="preserve"> with GLP-2 (</w:t>
      </w:r>
      <w:r w:rsidR="00304C2D" w:rsidRPr="006C46AB">
        <w:rPr>
          <w:rFonts w:ascii="Symbol" w:hAnsi="Symbol"/>
        </w:rPr>
        <w:t></w:t>
      </w:r>
      <w:r w:rsidR="00E904F3" w:rsidRPr="006C46AB">
        <w:rPr>
          <w:rFonts w:asciiTheme="majorHAnsi" w:hAnsiTheme="majorHAnsi"/>
        </w:rPr>
        <w:t xml:space="preserve"> = 2.70</w:t>
      </w:r>
      <w:r w:rsidR="00304C2D" w:rsidRPr="006C46AB">
        <w:rPr>
          <w:rFonts w:asciiTheme="majorHAnsi" w:hAnsiTheme="majorHAnsi"/>
        </w:rPr>
        <w:t xml:space="preserve">; </w:t>
      </w:r>
      <w:r w:rsidR="00304C2D" w:rsidRPr="006C46AB">
        <w:rPr>
          <w:rFonts w:asciiTheme="majorHAnsi" w:hAnsiTheme="majorHAnsi"/>
          <w:i/>
        </w:rPr>
        <w:t>P</w:t>
      </w:r>
      <w:r w:rsidR="00E904F3" w:rsidRPr="006C46AB">
        <w:rPr>
          <w:rFonts w:asciiTheme="majorHAnsi" w:hAnsiTheme="majorHAnsi"/>
        </w:rPr>
        <w:t xml:space="preserve"> = 0.03</w:t>
      </w:r>
      <w:r w:rsidR="00304C2D" w:rsidRPr="006C46AB">
        <w:rPr>
          <w:rFonts w:asciiTheme="majorHAnsi" w:hAnsiTheme="majorHAnsi"/>
        </w:rPr>
        <w:t>)</w:t>
      </w:r>
      <w:r w:rsidR="00BC7949" w:rsidRPr="006C46AB">
        <w:rPr>
          <w:rFonts w:asciiTheme="majorHAnsi" w:hAnsiTheme="majorHAnsi"/>
        </w:rPr>
        <w:t xml:space="preserve"> </w:t>
      </w:r>
      <w:r w:rsidR="00E904F3" w:rsidRPr="006C46AB">
        <w:rPr>
          <w:rFonts w:asciiTheme="majorHAnsi" w:hAnsiTheme="majorHAnsi"/>
        </w:rPr>
        <w:t>and baseline plasma zinc concentration (</w:t>
      </w:r>
      <w:r w:rsidR="00E904F3" w:rsidRPr="006C46AB">
        <w:rPr>
          <w:rFonts w:ascii="Symbol" w:hAnsi="Symbol"/>
        </w:rPr>
        <w:t></w:t>
      </w:r>
      <w:r w:rsidR="00E904F3" w:rsidRPr="006C46AB">
        <w:rPr>
          <w:rFonts w:asciiTheme="majorHAnsi" w:hAnsiTheme="majorHAnsi"/>
        </w:rPr>
        <w:t xml:space="preserve"> = 0.616; </w:t>
      </w:r>
      <w:r w:rsidR="00E904F3" w:rsidRPr="006C46AB">
        <w:rPr>
          <w:rFonts w:asciiTheme="majorHAnsi" w:hAnsiTheme="majorHAnsi"/>
          <w:i/>
        </w:rPr>
        <w:t>P</w:t>
      </w:r>
      <w:r w:rsidR="00E904F3" w:rsidRPr="006C46AB">
        <w:rPr>
          <w:rFonts w:asciiTheme="majorHAnsi" w:hAnsiTheme="majorHAnsi"/>
        </w:rPr>
        <w:t xml:space="preserve"> = 0.006)</w:t>
      </w:r>
      <w:r w:rsidR="00BC7949" w:rsidRPr="006C46AB">
        <w:rPr>
          <w:rFonts w:asciiTheme="majorHAnsi" w:hAnsiTheme="majorHAnsi"/>
        </w:rPr>
        <w:t xml:space="preserve">(Figure </w:t>
      </w:r>
      <w:r w:rsidR="00C75D08" w:rsidRPr="006C46AB">
        <w:rPr>
          <w:rFonts w:asciiTheme="majorHAnsi" w:hAnsiTheme="majorHAnsi"/>
        </w:rPr>
        <w:t>S4</w:t>
      </w:r>
      <w:r w:rsidR="00A70F34" w:rsidRPr="006C46AB">
        <w:rPr>
          <w:rFonts w:asciiTheme="majorHAnsi" w:hAnsiTheme="majorHAnsi"/>
        </w:rPr>
        <w:t>)</w:t>
      </w:r>
      <w:r w:rsidR="00304C2D" w:rsidRPr="006C46AB">
        <w:rPr>
          <w:rFonts w:asciiTheme="majorHAnsi" w:hAnsiTheme="majorHAnsi"/>
        </w:rPr>
        <w:t>.</w:t>
      </w:r>
      <w:r w:rsidR="00BA7B5A" w:rsidRPr="006C46AB">
        <w:rPr>
          <w:rFonts w:asciiTheme="majorHAnsi" w:hAnsiTheme="majorHAnsi"/>
        </w:rPr>
        <w:t xml:space="preserve"> We conclude that</w:t>
      </w:r>
      <w:r w:rsidR="000B1349" w:rsidRPr="006C46AB">
        <w:rPr>
          <w:rFonts w:asciiTheme="majorHAnsi" w:hAnsiTheme="majorHAnsi"/>
        </w:rPr>
        <w:t xml:space="preserve"> higher zinc uptake was associated with higher circulating levels of a hormone which increases epithelial cell mass</w:t>
      </w:r>
      <w:r w:rsidR="008D5177" w:rsidRPr="006C46AB">
        <w:rPr>
          <w:rFonts w:asciiTheme="majorHAnsi" w:hAnsiTheme="majorHAnsi"/>
        </w:rPr>
        <w:t xml:space="preserve"> and therefore absorptive area</w:t>
      </w:r>
      <w:r w:rsidR="000B1349" w:rsidRPr="006C46AB">
        <w:rPr>
          <w:rFonts w:asciiTheme="majorHAnsi" w:hAnsiTheme="majorHAnsi"/>
        </w:rPr>
        <w:t>.</w:t>
      </w:r>
    </w:p>
    <w:p w14:paraId="5B9D05A4" w14:textId="77777777" w:rsidR="0046774F" w:rsidRPr="006C46AB" w:rsidRDefault="0046774F" w:rsidP="0025423E">
      <w:pPr>
        <w:widowControl w:val="0"/>
        <w:spacing w:line="360" w:lineRule="auto"/>
        <w:rPr>
          <w:rFonts w:asciiTheme="majorHAnsi" w:hAnsiTheme="majorHAnsi"/>
        </w:rPr>
      </w:pPr>
    </w:p>
    <w:p w14:paraId="31EE4503" w14:textId="7F01F443" w:rsidR="0046774F" w:rsidRPr="006C46AB" w:rsidRDefault="0046774F" w:rsidP="0025423E">
      <w:pPr>
        <w:widowControl w:val="0"/>
        <w:spacing w:line="360" w:lineRule="auto"/>
        <w:rPr>
          <w:rFonts w:asciiTheme="majorHAnsi" w:hAnsiTheme="majorHAnsi"/>
          <w:i/>
        </w:rPr>
      </w:pPr>
      <w:proofErr w:type="spellStart"/>
      <w:r w:rsidRPr="006C46AB">
        <w:rPr>
          <w:rFonts w:asciiTheme="majorHAnsi" w:hAnsiTheme="majorHAnsi"/>
          <w:i/>
        </w:rPr>
        <w:t>Transcriptome</w:t>
      </w:r>
      <w:proofErr w:type="spellEnd"/>
      <w:r w:rsidRPr="006C46AB">
        <w:rPr>
          <w:rFonts w:asciiTheme="majorHAnsi" w:hAnsiTheme="majorHAnsi"/>
          <w:i/>
        </w:rPr>
        <w:t xml:space="preserve"> analysis</w:t>
      </w:r>
    </w:p>
    <w:p w14:paraId="482FC1D1" w14:textId="646EBCAB" w:rsidR="003123FC" w:rsidRPr="006C46AB" w:rsidRDefault="008648FC" w:rsidP="0025423E">
      <w:pPr>
        <w:widowControl w:val="0"/>
        <w:spacing w:line="360" w:lineRule="auto"/>
        <w:rPr>
          <w:rFonts w:asciiTheme="majorHAnsi" w:hAnsiTheme="majorHAnsi"/>
        </w:rPr>
      </w:pPr>
      <w:r w:rsidRPr="006C46AB">
        <w:rPr>
          <w:rFonts w:asciiTheme="majorHAnsi" w:hAnsiTheme="majorHAnsi"/>
        </w:rPr>
        <w:t xml:space="preserve">We sequenced RNA from 4 participants with very low or undetectable plumes and 4 with frequent plumes (Table S3). </w:t>
      </w:r>
      <w:r w:rsidR="00B4711F" w:rsidRPr="006C46AB">
        <w:rPr>
          <w:rFonts w:asciiTheme="majorHAnsi" w:hAnsiTheme="majorHAnsi"/>
        </w:rPr>
        <w:t xml:space="preserve">RNA sequencing </w:t>
      </w:r>
      <w:r w:rsidR="0037274E" w:rsidRPr="006C46AB">
        <w:rPr>
          <w:rFonts w:asciiTheme="majorHAnsi" w:hAnsiTheme="majorHAnsi"/>
        </w:rPr>
        <w:t>yielded between 7.35 and 10.22 million reads per sample of 2</w:t>
      </w:r>
      <w:r w:rsidR="0037274E" w:rsidRPr="006C46AB">
        <w:rPr>
          <w:rFonts w:ascii="Symbol" w:hAnsi="Symbol"/>
        </w:rPr>
        <w:t></w:t>
      </w:r>
      <w:r w:rsidR="0037274E" w:rsidRPr="006C46AB">
        <w:rPr>
          <w:rFonts w:asciiTheme="majorHAnsi" w:hAnsiTheme="majorHAnsi"/>
        </w:rPr>
        <w:t xml:space="preserve">g RNA, with unique matches to </w:t>
      </w:r>
      <w:r w:rsidR="00E62F75" w:rsidRPr="006C46AB">
        <w:rPr>
          <w:rFonts w:asciiTheme="majorHAnsi" w:hAnsiTheme="majorHAnsi"/>
        </w:rPr>
        <w:t>20,001 gene transcripts</w:t>
      </w:r>
      <w:r w:rsidR="0066448C" w:rsidRPr="006C46AB">
        <w:rPr>
          <w:rFonts w:asciiTheme="majorHAnsi" w:hAnsiTheme="majorHAnsi"/>
        </w:rPr>
        <w:t xml:space="preserve"> (between 98.2% and 99.1% mapped to genome)</w:t>
      </w:r>
      <w:r w:rsidR="0037274E" w:rsidRPr="006C46AB">
        <w:rPr>
          <w:rFonts w:asciiTheme="majorHAnsi" w:hAnsiTheme="majorHAnsi"/>
        </w:rPr>
        <w:t xml:space="preserve">. </w:t>
      </w:r>
      <w:r w:rsidR="00D9498B" w:rsidRPr="006C46AB">
        <w:rPr>
          <w:rFonts w:asciiTheme="majorHAnsi" w:hAnsiTheme="majorHAnsi"/>
        </w:rPr>
        <w:t xml:space="preserve">Agnostic analysis of the </w:t>
      </w:r>
      <w:proofErr w:type="spellStart"/>
      <w:r w:rsidR="00D9498B" w:rsidRPr="006C46AB">
        <w:rPr>
          <w:rFonts w:asciiTheme="majorHAnsi" w:hAnsiTheme="majorHAnsi"/>
        </w:rPr>
        <w:t>transcriptome</w:t>
      </w:r>
      <w:proofErr w:type="spellEnd"/>
      <w:r w:rsidR="00D9498B" w:rsidRPr="006C46AB">
        <w:rPr>
          <w:rFonts w:asciiTheme="majorHAnsi" w:hAnsiTheme="majorHAnsi"/>
        </w:rPr>
        <w:t xml:space="preserve"> data </w:t>
      </w:r>
      <w:r w:rsidR="00AD42C8" w:rsidRPr="006C46AB">
        <w:rPr>
          <w:rFonts w:asciiTheme="majorHAnsi" w:hAnsiTheme="majorHAnsi"/>
        </w:rPr>
        <w:t xml:space="preserve">from 4 participants with mild and 4 participants with very severe fluorescein leak (defined by frequency of plumes) </w:t>
      </w:r>
      <w:r w:rsidR="00D9498B" w:rsidRPr="006C46AB">
        <w:rPr>
          <w:rFonts w:asciiTheme="majorHAnsi" w:hAnsiTheme="majorHAnsi"/>
        </w:rPr>
        <w:t>yielded 23 differentially expressed genes</w:t>
      </w:r>
      <w:r w:rsidR="00BC7949" w:rsidRPr="006C46AB">
        <w:rPr>
          <w:rFonts w:asciiTheme="majorHAnsi" w:hAnsiTheme="majorHAnsi"/>
        </w:rPr>
        <w:t xml:space="preserve"> (Table 3</w:t>
      </w:r>
      <w:r w:rsidR="0066448C" w:rsidRPr="006C46AB">
        <w:rPr>
          <w:rFonts w:asciiTheme="majorHAnsi" w:hAnsiTheme="majorHAnsi"/>
        </w:rPr>
        <w:t>)</w:t>
      </w:r>
      <w:r w:rsidR="00B4711F" w:rsidRPr="006C46AB">
        <w:rPr>
          <w:rFonts w:asciiTheme="majorHAnsi" w:hAnsiTheme="majorHAnsi"/>
        </w:rPr>
        <w:t>. These includ</w:t>
      </w:r>
      <w:r w:rsidR="00587805" w:rsidRPr="006C46AB">
        <w:rPr>
          <w:rFonts w:asciiTheme="majorHAnsi" w:hAnsiTheme="majorHAnsi"/>
        </w:rPr>
        <w:t>ed</w:t>
      </w:r>
      <w:r w:rsidR="00582A63" w:rsidRPr="006C46AB">
        <w:rPr>
          <w:rFonts w:asciiTheme="majorHAnsi" w:hAnsiTheme="majorHAnsi"/>
        </w:rPr>
        <w:t xml:space="preserve"> down-regulated transcripts involved in metal ion uptake</w:t>
      </w:r>
      <w:r w:rsidR="0066448C" w:rsidRPr="006C46AB">
        <w:rPr>
          <w:rFonts w:asciiTheme="majorHAnsi" w:hAnsiTheme="majorHAnsi"/>
        </w:rPr>
        <w:t xml:space="preserve"> (</w:t>
      </w:r>
      <w:proofErr w:type="spellStart"/>
      <w:r w:rsidR="0066448C" w:rsidRPr="006C46AB">
        <w:rPr>
          <w:rFonts w:asciiTheme="majorHAnsi" w:hAnsiTheme="majorHAnsi"/>
        </w:rPr>
        <w:t>intelectin</w:t>
      </w:r>
      <w:proofErr w:type="spellEnd"/>
      <w:r w:rsidR="0066448C" w:rsidRPr="006C46AB">
        <w:rPr>
          <w:rFonts w:asciiTheme="majorHAnsi" w:hAnsiTheme="majorHAnsi"/>
        </w:rPr>
        <w:t xml:space="preserve">, </w:t>
      </w:r>
      <w:proofErr w:type="spellStart"/>
      <w:r w:rsidR="0066448C" w:rsidRPr="006C46AB">
        <w:rPr>
          <w:rFonts w:asciiTheme="majorHAnsi" w:hAnsiTheme="majorHAnsi"/>
        </w:rPr>
        <w:t>lipocalin</w:t>
      </w:r>
      <w:proofErr w:type="spellEnd"/>
      <w:r w:rsidR="0066448C" w:rsidRPr="006C46AB">
        <w:rPr>
          <w:rFonts w:asciiTheme="majorHAnsi" w:hAnsiTheme="majorHAnsi"/>
        </w:rPr>
        <w:t xml:space="preserve">, DMT-1, and </w:t>
      </w:r>
      <w:proofErr w:type="spellStart"/>
      <w:r w:rsidR="0066448C" w:rsidRPr="006C46AB">
        <w:rPr>
          <w:rFonts w:asciiTheme="majorHAnsi" w:hAnsiTheme="majorHAnsi"/>
        </w:rPr>
        <w:t>lactotransferrin</w:t>
      </w:r>
      <w:proofErr w:type="spellEnd"/>
      <w:r w:rsidR="0066448C" w:rsidRPr="006C46AB">
        <w:rPr>
          <w:rFonts w:asciiTheme="majorHAnsi" w:hAnsiTheme="majorHAnsi"/>
        </w:rPr>
        <w:t>)</w:t>
      </w:r>
      <w:r w:rsidR="00582A63" w:rsidRPr="006C46AB">
        <w:rPr>
          <w:rFonts w:asciiTheme="majorHAnsi" w:hAnsiTheme="majorHAnsi"/>
        </w:rPr>
        <w:t>, anti-protease activity</w:t>
      </w:r>
      <w:r w:rsidR="003C5179" w:rsidRPr="006C46AB">
        <w:rPr>
          <w:rFonts w:asciiTheme="majorHAnsi" w:hAnsiTheme="majorHAnsi"/>
        </w:rPr>
        <w:t xml:space="preserve"> (SPINK-4, serpin</w:t>
      </w:r>
      <w:r w:rsidR="0066448C" w:rsidRPr="006C46AB">
        <w:rPr>
          <w:rFonts w:asciiTheme="majorHAnsi" w:hAnsiTheme="majorHAnsi"/>
        </w:rPr>
        <w:t>-9)</w:t>
      </w:r>
      <w:r w:rsidR="00582A63" w:rsidRPr="006C46AB">
        <w:rPr>
          <w:rFonts w:asciiTheme="majorHAnsi" w:hAnsiTheme="majorHAnsi"/>
        </w:rPr>
        <w:t>, mucosal protection</w:t>
      </w:r>
      <w:r w:rsidR="0066448C" w:rsidRPr="006C46AB">
        <w:rPr>
          <w:rFonts w:asciiTheme="majorHAnsi" w:hAnsiTheme="majorHAnsi"/>
        </w:rPr>
        <w:t xml:space="preserve"> (trefoil factor 3)</w:t>
      </w:r>
      <w:r w:rsidR="00582A63" w:rsidRPr="006C46AB">
        <w:rPr>
          <w:rFonts w:asciiTheme="majorHAnsi" w:hAnsiTheme="majorHAnsi"/>
        </w:rPr>
        <w:t>, and host defence</w:t>
      </w:r>
      <w:r w:rsidR="0066448C" w:rsidRPr="006C46AB">
        <w:rPr>
          <w:rFonts w:asciiTheme="majorHAnsi" w:hAnsiTheme="majorHAnsi"/>
        </w:rPr>
        <w:t xml:space="preserve"> (human </w:t>
      </w:r>
      <w:proofErr w:type="spellStart"/>
      <w:r w:rsidR="0066448C" w:rsidRPr="006C46AB">
        <w:rPr>
          <w:rFonts w:asciiTheme="majorHAnsi" w:hAnsiTheme="majorHAnsi"/>
        </w:rPr>
        <w:t>defensins</w:t>
      </w:r>
      <w:proofErr w:type="spellEnd"/>
      <w:r w:rsidR="0066448C" w:rsidRPr="006C46AB">
        <w:rPr>
          <w:rFonts w:asciiTheme="majorHAnsi" w:hAnsiTheme="majorHAnsi"/>
        </w:rPr>
        <w:t xml:space="preserve"> 5 and 6, Reg-3</w:t>
      </w:r>
      <w:r w:rsidR="0066448C" w:rsidRPr="006C46AB">
        <w:rPr>
          <w:rFonts w:ascii="Symbol" w:hAnsi="Symbol"/>
        </w:rPr>
        <w:t></w:t>
      </w:r>
      <w:r w:rsidR="0066448C" w:rsidRPr="006C46AB">
        <w:rPr>
          <w:rFonts w:asciiTheme="majorHAnsi" w:hAnsiTheme="majorHAnsi"/>
        </w:rPr>
        <w:t>)</w:t>
      </w:r>
      <w:r w:rsidR="00582A63" w:rsidRPr="006C46AB">
        <w:rPr>
          <w:rFonts w:asciiTheme="majorHAnsi" w:hAnsiTheme="majorHAnsi"/>
        </w:rPr>
        <w:t>, and up-regulated transcripts involved in inflammation (</w:t>
      </w:r>
      <w:r w:rsidR="0066448C" w:rsidRPr="006C46AB">
        <w:rPr>
          <w:rFonts w:asciiTheme="majorHAnsi" w:hAnsiTheme="majorHAnsi"/>
        </w:rPr>
        <w:t>c-</w:t>
      </w:r>
      <w:proofErr w:type="spellStart"/>
      <w:r w:rsidR="0066448C" w:rsidRPr="006C46AB">
        <w:rPr>
          <w:rFonts w:asciiTheme="majorHAnsi" w:hAnsiTheme="majorHAnsi"/>
        </w:rPr>
        <w:t>fos</w:t>
      </w:r>
      <w:proofErr w:type="spellEnd"/>
      <w:r w:rsidR="0066448C" w:rsidRPr="006C46AB">
        <w:rPr>
          <w:rFonts w:asciiTheme="majorHAnsi" w:hAnsiTheme="majorHAnsi"/>
        </w:rPr>
        <w:t xml:space="preserve">, </w:t>
      </w:r>
      <w:proofErr w:type="spellStart"/>
      <w:r w:rsidR="0066448C" w:rsidRPr="006C46AB">
        <w:rPr>
          <w:rFonts w:asciiTheme="majorHAnsi" w:hAnsiTheme="majorHAnsi"/>
        </w:rPr>
        <w:t>fos</w:t>
      </w:r>
      <w:proofErr w:type="spellEnd"/>
      <w:r w:rsidR="0066448C" w:rsidRPr="006C46AB">
        <w:rPr>
          <w:rFonts w:asciiTheme="majorHAnsi" w:hAnsiTheme="majorHAnsi"/>
        </w:rPr>
        <w:t xml:space="preserve"> B, </w:t>
      </w:r>
      <w:proofErr w:type="spellStart"/>
      <w:r w:rsidR="0066448C" w:rsidRPr="006C46AB">
        <w:rPr>
          <w:rFonts w:asciiTheme="majorHAnsi" w:hAnsiTheme="majorHAnsi"/>
        </w:rPr>
        <w:t>granulysin</w:t>
      </w:r>
      <w:proofErr w:type="spellEnd"/>
      <w:r w:rsidR="0066448C" w:rsidRPr="006C46AB">
        <w:rPr>
          <w:rFonts w:asciiTheme="majorHAnsi" w:hAnsiTheme="majorHAnsi"/>
        </w:rPr>
        <w:t>, HLA-DR-</w:t>
      </w:r>
      <w:r w:rsidR="0066448C" w:rsidRPr="006C46AB">
        <w:rPr>
          <w:rFonts w:ascii="Symbol" w:hAnsi="Symbol"/>
        </w:rPr>
        <w:t></w:t>
      </w:r>
      <w:r w:rsidR="0066448C" w:rsidRPr="006C46AB">
        <w:rPr>
          <w:rFonts w:asciiTheme="majorHAnsi" w:hAnsiTheme="majorHAnsi"/>
        </w:rPr>
        <w:t>5 and CXC10</w:t>
      </w:r>
      <w:r w:rsidR="00582A63" w:rsidRPr="006C46AB">
        <w:rPr>
          <w:rFonts w:asciiTheme="majorHAnsi" w:hAnsiTheme="majorHAnsi"/>
        </w:rPr>
        <w:t>)</w:t>
      </w:r>
      <w:r w:rsidR="00D9498B" w:rsidRPr="006C46AB">
        <w:rPr>
          <w:rFonts w:asciiTheme="majorHAnsi" w:hAnsiTheme="majorHAnsi"/>
        </w:rPr>
        <w:t xml:space="preserve">. </w:t>
      </w:r>
      <w:r w:rsidR="00071E4A" w:rsidRPr="006C46AB">
        <w:rPr>
          <w:rFonts w:asciiTheme="majorHAnsi" w:hAnsiTheme="majorHAnsi"/>
        </w:rPr>
        <w:t xml:space="preserve">Trefoil factor 3 immunostaining (Figure </w:t>
      </w:r>
      <w:r w:rsidR="00C75D08" w:rsidRPr="006C46AB">
        <w:rPr>
          <w:rFonts w:asciiTheme="majorHAnsi" w:hAnsiTheme="majorHAnsi"/>
        </w:rPr>
        <w:t>S5</w:t>
      </w:r>
      <w:r w:rsidR="00071E4A" w:rsidRPr="006C46AB">
        <w:rPr>
          <w:rFonts w:asciiTheme="majorHAnsi" w:hAnsiTheme="majorHAnsi"/>
        </w:rPr>
        <w:t xml:space="preserve">) </w:t>
      </w:r>
      <w:r w:rsidR="00BC7949" w:rsidRPr="006C46AB">
        <w:rPr>
          <w:rFonts w:asciiTheme="majorHAnsi" w:hAnsiTheme="majorHAnsi"/>
        </w:rPr>
        <w:t xml:space="preserve">and counting of goblet cells </w:t>
      </w:r>
      <w:r w:rsidR="00071E4A" w:rsidRPr="006C46AB">
        <w:rPr>
          <w:rFonts w:asciiTheme="majorHAnsi" w:hAnsiTheme="majorHAnsi"/>
        </w:rPr>
        <w:t>showed that reduced mRNA was not due to loss</w:t>
      </w:r>
      <w:r w:rsidR="00D31F44" w:rsidRPr="006C46AB">
        <w:rPr>
          <w:rFonts w:asciiTheme="majorHAnsi" w:hAnsiTheme="majorHAnsi"/>
        </w:rPr>
        <w:t xml:space="preserve"> of goblet cells</w:t>
      </w:r>
      <w:r w:rsidR="00071E4A" w:rsidRPr="006C46AB">
        <w:rPr>
          <w:rFonts w:asciiTheme="majorHAnsi" w:hAnsiTheme="majorHAnsi"/>
        </w:rPr>
        <w:t>.</w:t>
      </w:r>
    </w:p>
    <w:p w14:paraId="0DA27B95" w14:textId="77777777" w:rsidR="003D56F7" w:rsidRPr="006C46AB" w:rsidRDefault="003D56F7" w:rsidP="0025423E">
      <w:pPr>
        <w:widowControl w:val="0"/>
        <w:spacing w:line="360" w:lineRule="auto"/>
        <w:rPr>
          <w:rFonts w:asciiTheme="majorHAnsi" w:hAnsiTheme="majorHAnsi"/>
        </w:rPr>
        <w:sectPr w:rsidR="003D56F7" w:rsidRPr="006C46AB" w:rsidSect="00D36E63">
          <w:footerReference w:type="even" r:id="rId9"/>
          <w:footerReference w:type="default" r:id="rId10"/>
          <w:pgSz w:w="11900" w:h="16840"/>
          <w:pgMar w:top="1440" w:right="1418" w:bottom="1440" w:left="1418" w:header="708" w:footer="708" w:gutter="0"/>
          <w:cols w:space="708"/>
          <w:titlePg/>
          <w:docGrid w:linePitch="360"/>
        </w:sectPr>
      </w:pPr>
    </w:p>
    <w:p w14:paraId="09049D89" w14:textId="39FF2E5D" w:rsidR="0046774F" w:rsidRPr="006C46AB" w:rsidRDefault="0046774F" w:rsidP="0025423E">
      <w:pPr>
        <w:widowControl w:val="0"/>
        <w:spacing w:line="360" w:lineRule="auto"/>
        <w:rPr>
          <w:rFonts w:asciiTheme="majorHAnsi" w:hAnsiTheme="majorHAnsi"/>
        </w:rPr>
      </w:pPr>
    </w:p>
    <w:p w14:paraId="308A2875" w14:textId="77777777" w:rsidR="00FC7600" w:rsidRPr="006C46AB" w:rsidRDefault="00FC7600" w:rsidP="00FC7600">
      <w:pPr>
        <w:widowControl w:val="0"/>
        <w:spacing w:line="360" w:lineRule="auto"/>
        <w:rPr>
          <w:rFonts w:asciiTheme="majorHAnsi" w:hAnsiTheme="majorHAnsi"/>
        </w:rPr>
      </w:pPr>
      <w:r w:rsidRPr="006C46AB">
        <w:rPr>
          <w:rFonts w:asciiTheme="majorHAnsi" w:hAnsiTheme="majorHAnsi"/>
          <w:b/>
        </w:rPr>
        <w:t>Table 3</w:t>
      </w:r>
      <w:r w:rsidRPr="006C46AB">
        <w:rPr>
          <w:rFonts w:asciiTheme="majorHAnsi" w:hAnsiTheme="majorHAnsi"/>
        </w:rPr>
        <w:t xml:space="preserve"> Differentially expressed genes in 4 biopsies from duodenum with multiple plumes seen by confocal laser endomicroscopy compared to 4 with minimal plumes</w:t>
      </w:r>
    </w:p>
    <w:tbl>
      <w:tblPr>
        <w:tblW w:w="5000"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50"/>
        <w:gridCol w:w="4299"/>
        <w:gridCol w:w="3325"/>
        <w:gridCol w:w="711"/>
        <w:gridCol w:w="1133"/>
        <w:gridCol w:w="1276"/>
        <w:gridCol w:w="1796"/>
      </w:tblGrid>
      <w:tr w:rsidR="003D56F7" w:rsidRPr="006C46AB" w14:paraId="247EAE5A" w14:textId="77777777" w:rsidTr="003D56F7">
        <w:trPr>
          <w:trHeight w:val="417"/>
        </w:trPr>
        <w:tc>
          <w:tcPr>
            <w:tcW w:w="518" w:type="pct"/>
            <w:shd w:val="clear" w:color="auto" w:fill="auto"/>
            <w:tcMar>
              <w:top w:w="15" w:type="dxa"/>
              <w:left w:w="15" w:type="dxa"/>
              <w:bottom w:w="0" w:type="dxa"/>
              <w:right w:w="15" w:type="dxa"/>
            </w:tcMar>
          </w:tcPr>
          <w:p w14:paraId="3F3EECF7" w14:textId="77777777" w:rsidR="003D56F7" w:rsidRPr="006C46AB" w:rsidRDefault="003D56F7" w:rsidP="003961A5">
            <w:pPr>
              <w:widowControl w:val="0"/>
              <w:rPr>
                <w:rFonts w:asciiTheme="majorHAnsi" w:hAnsiTheme="majorHAnsi"/>
                <w:b/>
                <w:bCs/>
              </w:rPr>
            </w:pPr>
            <w:r w:rsidRPr="006C46AB">
              <w:rPr>
                <w:rFonts w:asciiTheme="majorHAnsi" w:hAnsiTheme="majorHAnsi"/>
                <w:b/>
                <w:bCs/>
              </w:rPr>
              <w:t>Gene ID</w:t>
            </w:r>
          </w:p>
        </w:tc>
        <w:tc>
          <w:tcPr>
            <w:tcW w:w="1536" w:type="pct"/>
          </w:tcPr>
          <w:p w14:paraId="6C159F1D" w14:textId="77777777" w:rsidR="003D56F7" w:rsidRPr="006C46AB" w:rsidRDefault="003D56F7" w:rsidP="003961A5">
            <w:pPr>
              <w:widowControl w:val="0"/>
              <w:rPr>
                <w:rFonts w:asciiTheme="majorHAnsi" w:hAnsiTheme="majorHAnsi"/>
                <w:b/>
                <w:bCs/>
              </w:rPr>
            </w:pPr>
            <w:r w:rsidRPr="006C46AB">
              <w:rPr>
                <w:rFonts w:asciiTheme="majorHAnsi" w:hAnsiTheme="majorHAnsi"/>
                <w:b/>
                <w:bCs/>
              </w:rPr>
              <w:t>Gene name/function</w:t>
            </w:r>
          </w:p>
        </w:tc>
        <w:tc>
          <w:tcPr>
            <w:tcW w:w="1188" w:type="pct"/>
          </w:tcPr>
          <w:p w14:paraId="14CE4C90" w14:textId="2F036AAE" w:rsidR="003D56F7" w:rsidRPr="006C46AB" w:rsidRDefault="003D56F7" w:rsidP="003961A5">
            <w:pPr>
              <w:widowControl w:val="0"/>
              <w:rPr>
                <w:rFonts w:asciiTheme="majorHAnsi" w:hAnsiTheme="majorHAnsi"/>
                <w:b/>
                <w:bCs/>
              </w:rPr>
            </w:pPr>
            <w:r w:rsidRPr="006C46AB">
              <w:rPr>
                <w:rFonts w:asciiTheme="majorHAnsi" w:hAnsiTheme="majorHAnsi"/>
                <w:b/>
                <w:bCs/>
              </w:rPr>
              <w:t>Functional group</w:t>
            </w:r>
          </w:p>
        </w:tc>
        <w:tc>
          <w:tcPr>
            <w:tcW w:w="254" w:type="pct"/>
            <w:shd w:val="clear" w:color="auto" w:fill="auto"/>
            <w:tcMar>
              <w:top w:w="15" w:type="dxa"/>
              <w:left w:w="15" w:type="dxa"/>
              <w:bottom w:w="0" w:type="dxa"/>
              <w:right w:w="15" w:type="dxa"/>
            </w:tcMar>
          </w:tcPr>
          <w:p w14:paraId="1485FE25" w14:textId="5A62A12E" w:rsidR="003D56F7" w:rsidRPr="006C46AB" w:rsidRDefault="003D56F7" w:rsidP="003961A5">
            <w:pPr>
              <w:widowControl w:val="0"/>
              <w:rPr>
                <w:rFonts w:asciiTheme="majorHAnsi" w:hAnsiTheme="majorHAnsi"/>
                <w:b/>
                <w:bCs/>
              </w:rPr>
            </w:pPr>
            <w:r w:rsidRPr="006C46AB">
              <w:rPr>
                <w:rFonts w:asciiTheme="majorHAnsi" w:hAnsiTheme="majorHAnsi"/>
                <w:b/>
                <w:bCs/>
              </w:rPr>
              <w:t>Locus</w:t>
            </w:r>
          </w:p>
        </w:tc>
        <w:tc>
          <w:tcPr>
            <w:tcW w:w="405" w:type="pct"/>
            <w:shd w:val="clear" w:color="auto" w:fill="auto"/>
            <w:tcMar>
              <w:top w:w="15" w:type="dxa"/>
              <w:left w:w="15" w:type="dxa"/>
              <w:bottom w:w="0" w:type="dxa"/>
              <w:right w:w="15" w:type="dxa"/>
            </w:tcMar>
          </w:tcPr>
          <w:p w14:paraId="7373866A" w14:textId="77777777" w:rsidR="003D56F7" w:rsidRPr="006C46AB" w:rsidRDefault="003D56F7" w:rsidP="003961A5">
            <w:pPr>
              <w:widowControl w:val="0"/>
              <w:rPr>
                <w:rFonts w:asciiTheme="majorHAnsi" w:hAnsiTheme="majorHAnsi"/>
                <w:b/>
                <w:bCs/>
              </w:rPr>
            </w:pPr>
            <w:r w:rsidRPr="006C46AB">
              <w:rPr>
                <w:rFonts w:asciiTheme="majorHAnsi" w:hAnsiTheme="majorHAnsi"/>
                <w:b/>
                <w:bCs/>
              </w:rPr>
              <w:t>log2Ratio</w:t>
            </w:r>
          </w:p>
        </w:tc>
        <w:tc>
          <w:tcPr>
            <w:tcW w:w="456" w:type="pct"/>
          </w:tcPr>
          <w:p w14:paraId="0E0E01E9" w14:textId="185CC130" w:rsidR="003D56F7" w:rsidRPr="006C46AB" w:rsidRDefault="003D56F7" w:rsidP="003961A5">
            <w:pPr>
              <w:widowControl w:val="0"/>
              <w:rPr>
                <w:rFonts w:asciiTheme="majorHAnsi" w:hAnsiTheme="majorHAnsi"/>
                <w:b/>
                <w:bCs/>
              </w:rPr>
            </w:pPr>
            <w:r w:rsidRPr="006C46AB">
              <w:rPr>
                <w:rFonts w:asciiTheme="majorHAnsi" w:hAnsiTheme="majorHAnsi"/>
                <w:b/>
                <w:bCs/>
              </w:rPr>
              <w:t>Fold change</w:t>
            </w:r>
          </w:p>
        </w:tc>
        <w:tc>
          <w:tcPr>
            <w:tcW w:w="642" w:type="pct"/>
            <w:shd w:val="clear" w:color="auto" w:fill="auto"/>
            <w:tcMar>
              <w:top w:w="15" w:type="dxa"/>
              <w:left w:w="15" w:type="dxa"/>
              <w:bottom w:w="0" w:type="dxa"/>
              <w:right w:w="15" w:type="dxa"/>
            </w:tcMar>
          </w:tcPr>
          <w:p w14:paraId="31F87A75" w14:textId="6875E639" w:rsidR="003D56F7" w:rsidRPr="006C46AB" w:rsidRDefault="003D56F7" w:rsidP="003961A5">
            <w:pPr>
              <w:widowControl w:val="0"/>
              <w:rPr>
                <w:rFonts w:asciiTheme="majorHAnsi" w:hAnsiTheme="majorHAnsi"/>
                <w:b/>
                <w:bCs/>
              </w:rPr>
            </w:pPr>
            <w:r w:rsidRPr="006C46AB">
              <w:rPr>
                <w:rFonts w:asciiTheme="majorHAnsi" w:hAnsiTheme="majorHAnsi"/>
                <w:b/>
                <w:bCs/>
              </w:rPr>
              <w:t>Probability score</w:t>
            </w:r>
          </w:p>
        </w:tc>
      </w:tr>
      <w:tr w:rsidR="003D56F7" w:rsidRPr="006C46AB" w14:paraId="09F6187D" w14:textId="77777777" w:rsidTr="003D56F7">
        <w:trPr>
          <w:trHeight w:val="417"/>
        </w:trPr>
        <w:tc>
          <w:tcPr>
            <w:tcW w:w="518" w:type="pct"/>
            <w:shd w:val="clear" w:color="auto" w:fill="auto"/>
            <w:tcMar>
              <w:top w:w="15" w:type="dxa"/>
              <w:left w:w="15" w:type="dxa"/>
              <w:bottom w:w="0" w:type="dxa"/>
              <w:right w:w="15" w:type="dxa"/>
            </w:tcMar>
          </w:tcPr>
          <w:p w14:paraId="2AF36FFD" w14:textId="3960BC85"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1671</w:t>
            </w:r>
          </w:p>
        </w:tc>
        <w:tc>
          <w:tcPr>
            <w:tcW w:w="1536" w:type="pct"/>
          </w:tcPr>
          <w:p w14:paraId="581C06B7" w14:textId="1447A6D9" w:rsidR="003D56F7" w:rsidRPr="006C46AB" w:rsidRDefault="003D56F7" w:rsidP="003D56F7">
            <w:pPr>
              <w:widowControl w:val="0"/>
              <w:rPr>
                <w:rFonts w:asciiTheme="majorHAnsi" w:hAnsiTheme="majorHAnsi"/>
                <w:color w:val="000000"/>
              </w:rPr>
            </w:pPr>
            <w:r w:rsidRPr="006C46AB">
              <w:rPr>
                <w:rFonts w:asciiTheme="majorHAnsi" w:hAnsiTheme="majorHAnsi"/>
                <w:color w:val="000000"/>
              </w:rPr>
              <w:t xml:space="preserve">Human </w:t>
            </w:r>
            <w:proofErr w:type="spellStart"/>
            <w:r w:rsidRPr="006C46AB">
              <w:rPr>
                <w:rFonts w:asciiTheme="majorHAnsi" w:hAnsiTheme="majorHAnsi"/>
                <w:color w:val="000000"/>
              </w:rPr>
              <w:t>defensin</w:t>
            </w:r>
            <w:proofErr w:type="spellEnd"/>
            <w:r w:rsidRPr="006C46AB">
              <w:rPr>
                <w:rFonts w:asciiTheme="majorHAnsi" w:hAnsiTheme="majorHAnsi"/>
                <w:color w:val="000000"/>
              </w:rPr>
              <w:t xml:space="preserve"> 6</w:t>
            </w:r>
          </w:p>
        </w:tc>
        <w:tc>
          <w:tcPr>
            <w:tcW w:w="1188" w:type="pct"/>
            <w:vMerge w:val="restart"/>
          </w:tcPr>
          <w:p w14:paraId="655B4CC2" w14:textId="285E1EC0"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Paneth cell antimicrobial peptides</w:t>
            </w:r>
          </w:p>
        </w:tc>
        <w:tc>
          <w:tcPr>
            <w:tcW w:w="254" w:type="pct"/>
            <w:shd w:val="clear" w:color="auto" w:fill="auto"/>
            <w:tcMar>
              <w:top w:w="15" w:type="dxa"/>
              <w:left w:w="15" w:type="dxa"/>
              <w:bottom w:w="0" w:type="dxa"/>
              <w:right w:w="15" w:type="dxa"/>
            </w:tcMar>
          </w:tcPr>
          <w:p w14:paraId="463A7119" w14:textId="495BE48A"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479</w:t>
            </w:r>
          </w:p>
        </w:tc>
        <w:tc>
          <w:tcPr>
            <w:tcW w:w="405" w:type="pct"/>
            <w:shd w:val="clear" w:color="auto" w:fill="auto"/>
            <w:tcMar>
              <w:top w:w="15" w:type="dxa"/>
              <w:left w:w="15" w:type="dxa"/>
              <w:bottom w:w="0" w:type="dxa"/>
              <w:right w:w="15" w:type="dxa"/>
            </w:tcMar>
          </w:tcPr>
          <w:p w14:paraId="4B11A506" w14:textId="419133F3"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-2.17316</w:t>
            </w:r>
          </w:p>
        </w:tc>
        <w:tc>
          <w:tcPr>
            <w:tcW w:w="456" w:type="pct"/>
          </w:tcPr>
          <w:p w14:paraId="2BB02462" w14:textId="7A82B708"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0.222</w:t>
            </w:r>
          </w:p>
        </w:tc>
        <w:tc>
          <w:tcPr>
            <w:tcW w:w="642" w:type="pct"/>
            <w:shd w:val="clear" w:color="auto" w:fill="auto"/>
            <w:tcMar>
              <w:top w:w="15" w:type="dxa"/>
              <w:left w:w="15" w:type="dxa"/>
              <w:bottom w:w="0" w:type="dxa"/>
              <w:right w:w="15" w:type="dxa"/>
            </w:tcMar>
          </w:tcPr>
          <w:p w14:paraId="7EF4A1F4" w14:textId="03B4B23C"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0.826343</w:t>
            </w:r>
          </w:p>
        </w:tc>
      </w:tr>
      <w:tr w:rsidR="003D56F7" w:rsidRPr="006C46AB" w14:paraId="6F3ABB2D" w14:textId="77777777" w:rsidTr="003D56F7">
        <w:trPr>
          <w:trHeight w:val="417"/>
        </w:trPr>
        <w:tc>
          <w:tcPr>
            <w:tcW w:w="518" w:type="pct"/>
            <w:shd w:val="clear" w:color="auto" w:fill="auto"/>
            <w:tcMar>
              <w:top w:w="15" w:type="dxa"/>
              <w:left w:w="15" w:type="dxa"/>
              <w:bottom w:w="0" w:type="dxa"/>
              <w:right w:w="15" w:type="dxa"/>
            </w:tcMar>
          </w:tcPr>
          <w:p w14:paraId="411616DA" w14:textId="792DEA34"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1670</w:t>
            </w:r>
          </w:p>
        </w:tc>
        <w:tc>
          <w:tcPr>
            <w:tcW w:w="1536" w:type="pct"/>
          </w:tcPr>
          <w:p w14:paraId="07777FD1" w14:textId="33E28651" w:rsidR="003D56F7" w:rsidRPr="006C46AB" w:rsidRDefault="003D56F7" w:rsidP="003D56F7">
            <w:pPr>
              <w:widowControl w:val="0"/>
              <w:rPr>
                <w:rFonts w:asciiTheme="majorHAnsi" w:hAnsiTheme="majorHAnsi"/>
                <w:color w:val="000000"/>
              </w:rPr>
            </w:pPr>
            <w:r w:rsidRPr="006C46AB">
              <w:rPr>
                <w:rFonts w:asciiTheme="majorHAnsi" w:hAnsiTheme="majorHAnsi"/>
                <w:color w:val="000000"/>
              </w:rPr>
              <w:t xml:space="preserve">Human </w:t>
            </w:r>
            <w:proofErr w:type="spellStart"/>
            <w:r w:rsidRPr="006C46AB">
              <w:rPr>
                <w:rFonts w:asciiTheme="majorHAnsi" w:hAnsiTheme="majorHAnsi"/>
                <w:color w:val="000000"/>
              </w:rPr>
              <w:t>defensin</w:t>
            </w:r>
            <w:proofErr w:type="spellEnd"/>
            <w:r w:rsidRPr="006C46AB">
              <w:rPr>
                <w:rFonts w:asciiTheme="majorHAnsi" w:hAnsiTheme="majorHAnsi"/>
                <w:color w:val="000000"/>
              </w:rPr>
              <w:t xml:space="preserve"> 5</w:t>
            </w:r>
          </w:p>
        </w:tc>
        <w:tc>
          <w:tcPr>
            <w:tcW w:w="1188" w:type="pct"/>
            <w:vMerge/>
          </w:tcPr>
          <w:p w14:paraId="6767A092"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0E6F2781" w14:textId="7A9CAB61"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449</w:t>
            </w:r>
          </w:p>
        </w:tc>
        <w:tc>
          <w:tcPr>
            <w:tcW w:w="405" w:type="pct"/>
            <w:shd w:val="clear" w:color="auto" w:fill="auto"/>
            <w:tcMar>
              <w:top w:w="15" w:type="dxa"/>
              <w:left w:w="15" w:type="dxa"/>
              <w:bottom w:w="0" w:type="dxa"/>
              <w:right w:w="15" w:type="dxa"/>
            </w:tcMar>
          </w:tcPr>
          <w:p w14:paraId="594B4AA4" w14:textId="543DF681"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-1.92632</w:t>
            </w:r>
          </w:p>
        </w:tc>
        <w:tc>
          <w:tcPr>
            <w:tcW w:w="456" w:type="pct"/>
          </w:tcPr>
          <w:p w14:paraId="3C9A1DA4" w14:textId="68269E02"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0.264</w:t>
            </w:r>
          </w:p>
        </w:tc>
        <w:tc>
          <w:tcPr>
            <w:tcW w:w="642" w:type="pct"/>
            <w:shd w:val="clear" w:color="auto" w:fill="auto"/>
            <w:tcMar>
              <w:top w:w="15" w:type="dxa"/>
              <w:left w:w="15" w:type="dxa"/>
              <w:bottom w:w="0" w:type="dxa"/>
              <w:right w:w="15" w:type="dxa"/>
            </w:tcMar>
          </w:tcPr>
          <w:p w14:paraId="387B5A0F" w14:textId="2C88A931"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0.813815</w:t>
            </w:r>
          </w:p>
        </w:tc>
      </w:tr>
      <w:tr w:rsidR="003D56F7" w:rsidRPr="006C46AB" w14:paraId="0B6278A3" w14:textId="77777777" w:rsidTr="003D56F7">
        <w:trPr>
          <w:trHeight w:val="417"/>
        </w:trPr>
        <w:tc>
          <w:tcPr>
            <w:tcW w:w="518" w:type="pct"/>
            <w:shd w:val="clear" w:color="auto" w:fill="auto"/>
            <w:tcMar>
              <w:top w:w="15" w:type="dxa"/>
              <w:left w:w="15" w:type="dxa"/>
              <w:bottom w:w="0" w:type="dxa"/>
              <w:right w:w="15" w:type="dxa"/>
            </w:tcMar>
          </w:tcPr>
          <w:p w14:paraId="3B2BA35C" w14:textId="64C903A4"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5068</w:t>
            </w:r>
          </w:p>
        </w:tc>
        <w:tc>
          <w:tcPr>
            <w:tcW w:w="1536" w:type="pct"/>
          </w:tcPr>
          <w:p w14:paraId="1426DD90" w14:textId="3DCE716F" w:rsidR="003D56F7" w:rsidRPr="006C46AB" w:rsidRDefault="003D56F7" w:rsidP="003D56F7">
            <w:pPr>
              <w:widowControl w:val="0"/>
              <w:rPr>
                <w:rFonts w:asciiTheme="majorHAnsi" w:hAnsiTheme="majorHAnsi"/>
                <w:color w:val="000000"/>
              </w:rPr>
            </w:pPr>
            <w:proofErr w:type="spellStart"/>
            <w:r w:rsidRPr="006C46AB">
              <w:rPr>
                <w:rFonts w:asciiTheme="majorHAnsi" w:hAnsiTheme="majorHAnsi"/>
                <w:color w:val="000000"/>
              </w:rPr>
              <w:t>Reg</w:t>
            </w:r>
            <w:proofErr w:type="spellEnd"/>
            <w:r w:rsidRPr="006C46AB">
              <w:rPr>
                <w:rFonts w:asciiTheme="majorHAnsi" w:hAnsiTheme="majorHAnsi"/>
                <w:color w:val="000000"/>
              </w:rPr>
              <w:t xml:space="preserve"> 3</w:t>
            </w:r>
            <w:r w:rsidRPr="006C46AB">
              <w:rPr>
                <w:rFonts w:ascii="Symbol" w:hAnsi="Symbol"/>
                <w:color w:val="000000"/>
              </w:rPr>
              <w:t></w:t>
            </w:r>
          </w:p>
        </w:tc>
        <w:tc>
          <w:tcPr>
            <w:tcW w:w="1188" w:type="pct"/>
            <w:vMerge/>
          </w:tcPr>
          <w:p w14:paraId="34068BD2"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320E8853" w14:textId="0D87F675"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1117</w:t>
            </w:r>
          </w:p>
        </w:tc>
        <w:tc>
          <w:tcPr>
            <w:tcW w:w="405" w:type="pct"/>
            <w:shd w:val="clear" w:color="auto" w:fill="auto"/>
            <w:tcMar>
              <w:top w:w="15" w:type="dxa"/>
              <w:left w:w="15" w:type="dxa"/>
              <w:bottom w:w="0" w:type="dxa"/>
              <w:right w:w="15" w:type="dxa"/>
            </w:tcMar>
          </w:tcPr>
          <w:p w14:paraId="729095AA" w14:textId="5CB97127"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-1.87921</w:t>
            </w:r>
          </w:p>
        </w:tc>
        <w:tc>
          <w:tcPr>
            <w:tcW w:w="456" w:type="pct"/>
          </w:tcPr>
          <w:p w14:paraId="029B5796" w14:textId="5136C7C6"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0.272</w:t>
            </w:r>
          </w:p>
        </w:tc>
        <w:tc>
          <w:tcPr>
            <w:tcW w:w="642" w:type="pct"/>
            <w:shd w:val="clear" w:color="auto" w:fill="auto"/>
            <w:tcMar>
              <w:top w:w="15" w:type="dxa"/>
              <w:left w:w="15" w:type="dxa"/>
              <w:bottom w:w="0" w:type="dxa"/>
              <w:right w:w="15" w:type="dxa"/>
            </w:tcMar>
          </w:tcPr>
          <w:p w14:paraId="2FCA9FD5" w14:textId="3D9AD245"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0.80937</w:t>
            </w:r>
          </w:p>
        </w:tc>
      </w:tr>
      <w:tr w:rsidR="003D56F7" w:rsidRPr="006C46AB" w14:paraId="3B5BB596" w14:textId="77777777" w:rsidTr="003D56F7">
        <w:trPr>
          <w:trHeight w:val="417"/>
        </w:trPr>
        <w:tc>
          <w:tcPr>
            <w:tcW w:w="518" w:type="pct"/>
            <w:shd w:val="clear" w:color="auto" w:fill="auto"/>
            <w:tcMar>
              <w:top w:w="15" w:type="dxa"/>
              <w:left w:w="15" w:type="dxa"/>
              <w:bottom w:w="0" w:type="dxa"/>
              <w:right w:w="15" w:type="dxa"/>
            </w:tcMar>
          </w:tcPr>
          <w:p w14:paraId="5BBAB8EA" w14:textId="7B6F9943"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7033</w:t>
            </w:r>
          </w:p>
        </w:tc>
        <w:tc>
          <w:tcPr>
            <w:tcW w:w="1536" w:type="pct"/>
          </w:tcPr>
          <w:p w14:paraId="2554CF96" w14:textId="03579BBA"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Trefoil factor 3; epithelial repair peptide</w:t>
            </w:r>
          </w:p>
        </w:tc>
        <w:tc>
          <w:tcPr>
            <w:tcW w:w="1188" w:type="pct"/>
          </w:tcPr>
          <w:p w14:paraId="6DFA949C" w14:textId="1BD88902" w:rsidR="003D56F7" w:rsidRPr="006C46AB" w:rsidRDefault="003D56F7" w:rsidP="003961A5">
            <w:pPr>
              <w:widowControl w:val="0"/>
              <w:rPr>
                <w:rFonts w:asciiTheme="majorHAnsi" w:hAnsiTheme="majorHAnsi" w:cs="宋体"/>
                <w:color w:val="000000"/>
              </w:rPr>
            </w:pPr>
            <w:r w:rsidRPr="006C46AB">
              <w:rPr>
                <w:rFonts w:asciiTheme="majorHAnsi" w:hAnsiTheme="majorHAnsi" w:cs="宋体"/>
                <w:color w:val="000000"/>
              </w:rPr>
              <w:t>Epithelial repair peptide</w:t>
            </w:r>
          </w:p>
        </w:tc>
        <w:tc>
          <w:tcPr>
            <w:tcW w:w="254" w:type="pct"/>
            <w:shd w:val="clear" w:color="auto" w:fill="auto"/>
            <w:tcMar>
              <w:top w:w="15" w:type="dxa"/>
              <w:left w:w="15" w:type="dxa"/>
              <w:bottom w:w="0" w:type="dxa"/>
              <w:right w:w="15" w:type="dxa"/>
            </w:tcMar>
          </w:tcPr>
          <w:p w14:paraId="41AC7A85" w14:textId="4AA54291"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1054</w:t>
            </w:r>
          </w:p>
        </w:tc>
        <w:tc>
          <w:tcPr>
            <w:tcW w:w="405" w:type="pct"/>
            <w:shd w:val="clear" w:color="auto" w:fill="auto"/>
            <w:tcMar>
              <w:top w:w="15" w:type="dxa"/>
              <w:left w:w="15" w:type="dxa"/>
              <w:bottom w:w="0" w:type="dxa"/>
              <w:right w:w="15" w:type="dxa"/>
            </w:tcMar>
          </w:tcPr>
          <w:p w14:paraId="10E50FAB" w14:textId="40F78620"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-2.16378</w:t>
            </w:r>
          </w:p>
        </w:tc>
        <w:tc>
          <w:tcPr>
            <w:tcW w:w="456" w:type="pct"/>
          </w:tcPr>
          <w:p w14:paraId="528C32C5" w14:textId="72E13E1B"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0.224</w:t>
            </w:r>
          </w:p>
        </w:tc>
        <w:tc>
          <w:tcPr>
            <w:tcW w:w="642" w:type="pct"/>
            <w:shd w:val="clear" w:color="auto" w:fill="auto"/>
            <w:tcMar>
              <w:top w:w="15" w:type="dxa"/>
              <w:left w:w="15" w:type="dxa"/>
              <w:bottom w:w="0" w:type="dxa"/>
              <w:right w:w="15" w:type="dxa"/>
            </w:tcMar>
          </w:tcPr>
          <w:p w14:paraId="3E96D44F" w14:textId="461892C3"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0.820769</w:t>
            </w:r>
          </w:p>
        </w:tc>
      </w:tr>
      <w:tr w:rsidR="003D56F7" w:rsidRPr="006C46AB" w14:paraId="794C4BE2" w14:textId="77777777" w:rsidTr="003D56F7">
        <w:trPr>
          <w:trHeight w:val="417"/>
        </w:trPr>
        <w:tc>
          <w:tcPr>
            <w:tcW w:w="518" w:type="pct"/>
            <w:shd w:val="clear" w:color="auto" w:fill="auto"/>
            <w:tcMar>
              <w:top w:w="15" w:type="dxa"/>
              <w:left w:w="15" w:type="dxa"/>
              <w:bottom w:w="0" w:type="dxa"/>
              <w:right w:w="15" w:type="dxa"/>
            </w:tcMar>
          </w:tcPr>
          <w:p w14:paraId="485221FE" w14:textId="3F7FBE10"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327657</w:t>
            </w:r>
          </w:p>
        </w:tc>
        <w:tc>
          <w:tcPr>
            <w:tcW w:w="1536" w:type="pct"/>
          </w:tcPr>
          <w:p w14:paraId="11EEF9B3" w14:textId="22AB3EFC" w:rsidR="003D56F7" w:rsidRPr="006C46AB" w:rsidRDefault="003D56F7" w:rsidP="003961A5">
            <w:pPr>
              <w:widowControl w:val="0"/>
              <w:rPr>
                <w:rFonts w:asciiTheme="majorHAnsi" w:hAnsiTheme="majorHAnsi"/>
                <w:color w:val="000000"/>
              </w:rPr>
            </w:pPr>
            <w:proofErr w:type="spellStart"/>
            <w:r w:rsidRPr="006C46AB">
              <w:rPr>
                <w:rFonts w:asciiTheme="majorHAnsi" w:hAnsiTheme="majorHAnsi"/>
                <w:color w:val="000000"/>
              </w:rPr>
              <w:t>Serpin</w:t>
            </w:r>
            <w:proofErr w:type="spellEnd"/>
            <w:r w:rsidRPr="006C46AB">
              <w:rPr>
                <w:rFonts w:asciiTheme="majorHAnsi" w:hAnsiTheme="majorHAnsi"/>
                <w:color w:val="000000"/>
              </w:rPr>
              <w:t xml:space="preserve"> 9; protease inhibitor</w:t>
            </w:r>
          </w:p>
        </w:tc>
        <w:tc>
          <w:tcPr>
            <w:tcW w:w="1188" w:type="pct"/>
            <w:vMerge w:val="restart"/>
          </w:tcPr>
          <w:p w14:paraId="21CD00F4" w14:textId="06884EF4"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Anti-</w:t>
            </w:r>
            <w:proofErr w:type="spellStart"/>
            <w:r w:rsidRPr="006C46AB">
              <w:rPr>
                <w:rFonts w:asciiTheme="majorHAnsi" w:hAnsiTheme="majorHAnsi"/>
                <w:color w:val="000000"/>
              </w:rPr>
              <w:t>proteolytic</w:t>
            </w:r>
            <w:proofErr w:type="spellEnd"/>
          </w:p>
        </w:tc>
        <w:tc>
          <w:tcPr>
            <w:tcW w:w="254" w:type="pct"/>
            <w:shd w:val="clear" w:color="auto" w:fill="auto"/>
            <w:tcMar>
              <w:top w:w="15" w:type="dxa"/>
              <w:left w:w="15" w:type="dxa"/>
              <w:bottom w:w="0" w:type="dxa"/>
              <w:right w:w="15" w:type="dxa"/>
            </w:tcMar>
          </w:tcPr>
          <w:p w14:paraId="17EDF523" w14:textId="1E9C14DA"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1851</w:t>
            </w:r>
          </w:p>
        </w:tc>
        <w:tc>
          <w:tcPr>
            <w:tcW w:w="405" w:type="pct"/>
            <w:shd w:val="clear" w:color="auto" w:fill="auto"/>
            <w:tcMar>
              <w:top w:w="15" w:type="dxa"/>
              <w:left w:w="15" w:type="dxa"/>
              <w:bottom w:w="0" w:type="dxa"/>
              <w:right w:w="15" w:type="dxa"/>
            </w:tcMar>
          </w:tcPr>
          <w:p w14:paraId="1EE20088" w14:textId="64D8B7B9"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-12.8255</w:t>
            </w:r>
          </w:p>
        </w:tc>
        <w:tc>
          <w:tcPr>
            <w:tcW w:w="456" w:type="pct"/>
          </w:tcPr>
          <w:p w14:paraId="62E00938" w14:textId="690D2DD0"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0.00014</w:t>
            </w:r>
          </w:p>
        </w:tc>
        <w:tc>
          <w:tcPr>
            <w:tcW w:w="642" w:type="pct"/>
            <w:shd w:val="clear" w:color="auto" w:fill="auto"/>
            <w:tcMar>
              <w:top w:w="15" w:type="dxa"/>
              <w:left w:w="15" w:type="dxa"/>
              <w:bottom w:w="0" w:type="dxa"/>
              <w:right w:w="15" w:type="dxa"/>
            </w:tcMar>
          </w:tcPr>
          <w:p w14:paraId="5F3B1973" w14:textId="39A37D33"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0.857051</w:t>
            </w:r>
          </w:p>
        </w:tc>
      </w:tr>
      <w:tr w:rsidR="003D56F7" w:rsidRPr="006C46AB" w14:paraId="69CE1EF4" w14:textId="77777777" w:rsidTr="003D56F7">
        <w:trPr>
          <w:trHeight w:val="417"/>
        </w:trPr>
        <w:tc>
          <w:tcPr>
            <w:tcW w:w="518" w:type="pct"/>
            <w:shd w:val="clear" w:color="auto" w:fill="auto"/>
            <w:tcMar>
              <w:top w:w="15" w:type="dxa"/>
              <w:left w:w="15" w:type="dxa"/>
              <w:bottom w:w="0" w:type="dxa"/>
              <w:right w:w="15" w:type="dxa"/>
            </w:tcMar>
          </w:tcPr>
          <w:p w14:paraId="7F0807A5" w14:textId="6A1A1471"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27290</w:t>
            </w:r>
          </w:p>
        </w:tc>
        <w:tc>
          <w:tcPr>
            <w:tcW w:w="1536" w:type="pct"/>
          </w:tcPr>
          <w:p w14:paraId="721A5088" w14:textId="058F2372"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SPINK 4; protease inhibitor</w:t>
            </w:r>
          </w:p>
        </w:tc>
        <w:tc>
          <w:tcPr>
            <w:tcW w:w="1188" w:type="pct"/>
            <w:vMerge/>
          </w:tcPr>
          <w:p w14:paraId="30EF8E75" w14:textId="77777777" w:rsidR="003D56F7" w:rsidRPr="006C46AB" w:rsidRDefault="003D56F7" w:rsidP="003961A5">
            <w:pPr>
              <w:widowControl w:val="0"/>
              <w:rPr>
                <w:rFonts w:asciiTheme="majorHAnsi" w:hAnsiTheme="majorHAnsi" w:cs="宋体"/>
                <w:color w:val="000000"/>
              </w:rPr>
            </w:pPr>
          </w:p>
        </w:tc>
        <w:tc>
          <w:tcPr>
            <w:tcW w:w="254" w:type="pct"/>
            <w:shd w:val="clear" w:color="auto" w:fill="auto"/>
            <w:tcMar>
              <w:top w:w="15" w:type="dxa"/>
              <w:left w:w="15" w:type="dxa"/>
              <w:bottom w:w="0" w:type="dxa"/>
              <w:right w:w="15" w:type="dxa"/>
            </w:tcMar>
          </w:tcPr>
          <w:p w14:paraId="76905A87" w14:textId="243ED84D"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386</w:t>
            </w:r>
          </w:p>
        </w:tc>
        <w:tc>
          <w:tcPr>
            <w:tcW w:w="405" w:type="pct"/>
            <w:shd w:val="clear" w:color="auto" w:fill="auto"/>
            <w:tcMar>
              <w:top w:w="15" w:type="dxa"/>
              <w:left w:w="15" w:type="dxa"/>
              <w:bottom w:w="0" w:type="dxa"/>
              <w:right w:w="15" w:type="dxa"/>
            </w:tcMar>
          </w:tcPr>
          <w:p w14:paraId="1AEDE741" w14:textId="19FCBBAC"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-4.41835</w:t>
            </w:r>
          </w:p>
        </w:tc>
        <w:tc>
          <w:tcPr>
            <w:tcW w:w="456" w:type="pct"/>
          </w:tcPr>
          <w:p w14:paraId="5A48FFB3" w14:textId="0FB863B8"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0.047</w:t>
            </w:r>
          </w:p>
        </w:tc>
        <w:tc>
          <w:tcPr>
            <w:tcW w:w="642" w:type="pct"/>
            <w:shd w:val="clear" w:color="auto" w:fill="auto"/>
            <w:tcMar>
              <w:top w:w="15" w:type="dxa"/>
              <w:left w:w="15" w:type="dxa"/>
              <w:bottom w:w="0" w:type="dxa"/>
              <w:right w:w="15" w:type="dxa"/>
            </w:tcMar>
          </w:tcPr>
          <w:p w14:paraId="33CD65FB" w14:textId="2FD64018"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0.872211</w:t>
            </w:r>
          </w:p>
        </w:tc>
      </w:tr>
      <w:tr w:rsidR="003D56F7" w:rsidRPr="006C46AB" w14:paraId="560F6808" w14:textId="77777777" w:rsidTr="003D56F7">
        <w:trPr>
          <w:trHeight w:val="417"/>
        </w:trPr>
        <w:tc>
          <w:tcPr>
            <w:tcW w:w="518" w:type="pct"/>
            <w:shd w:val="clear" w:color="auto" w:fill="auto"/>
            <w:tcMar>
              <w:top w:w="15" w:type="dxa"/>
              <w:left w:w="15" w:type="dxa"/>
              <w:bottom w:w="0" w:type="dxa"/>
              <w:right w:w="15" w:type="dxa"/>
            </w:tcMar>
          </w:tcPr>
          <w:p w14:paraId="23866F81" w14:textId="6A1698C8"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3934</w:t>
            </w:r>
          </w:p>
        </w:tc>
        <w:tc>
          <w:tcPr>
            <w:tcW w:w="1536" w:type="pct"/>
          </w:tcPr>
          <w:p w14:paraId="77705AD0" w14:textId="7FF02D55" w:rsidR="003D56F7" w:rsidRPr="006C46AB" w:rsidRDefault="003D56F7" w:rsidP="003961A5">
            <w:pPr>
              <w:widowControl w:val="0"/>
              <w:rPr>
                <w:rFonts w:asciiTheme="majorHAnsi" w:hAnsiTheme="majorHAnsi"/>
                <w:color w:val="000000"/>
              </w:rPr>
            </w:pPr>
            <w:proofErr w:type="spellStart"/>
            <w:r w:rsidRPr="006C46AB">
              <w:rPr>
                <w:rFonts w:asciiTheme="majorHAnsi" w:hAnsiTheme="majorHAnsi"/>
                <w:color w:val="000000"/>
              </w:rPr>
              <w:t>Lipocalin</w:t>
            </w:r>
            <w:proofErr w:type="spellEnd"/>
            <w:r w:rsidRPr="006C46AB">
              <w:rPr>
                <w:rFonts w:asciiTheme="majorHAnsi" w:hAnsiTheme="majorHAnsi"/>
                <w:color w:val="000000"/>
              </w:rPr>
              <w:t xml:space="preserve"> 2; iron sequestration</w:t>
            </w:r>
          </w:p>
        </w:tc>
        <w:tc>
          <w:tcPr>
            <w:tcW w:w="1188" w:type="pct"/>
            <w:vMerge w:val="restart"/>
          </w:tcPr>
          <w:p w14:paraId="2F6B92DC" w14:textId="6370BFFD" w:rsidR="003D56F7" w:rsidRPr="006C46AB" w:rsidRDefault="003D56F7" w:rsidP="003D56F7">
            <w:pPr>
              <w:widowControl w:val="0"/>
              <w:rPr>
                <w:rFonts w:asciiTheme="majorHAnsi" w:hAnsiTheme="majorHAnsi" w:cs="宋体"/>
                <w:color w:val="000000"/>
              </w:rPr>
            </w:pPr>
            <w:proofErr w:type="spellStart"/>
            <w:r w:rsidRPr="006C46AB">
              <w:rPr>
                <w:rFonts w:asciiTheme="majorHAnsi" w:hAnsiTheme="majorHAnsi" w:cs="宋体"/>
                <w:color w:val="000000"/>
              </w:rPr>
              <w:t>Cation</w:t>
            </w:r>
            <w:proofErr w:type="spellEnd"/>
            <w:r w:rsidRPr="006C46AB">
              <w:rPr>
                <w:rFonts w:asciiTheme="majorHAnsi" w:hAnsiTheme="majorHAnsi" w:cs="宋体"/>
                <w:color w:val="000000"/>
              </w:rPr>
              <w:t xml:space="preserve"> uptake and sequestration from pathogens</w:t>
            </w:r>
          </w:p>
        </w:tc>
        <w:tc>
          <w:tcPr>
            <w:tcW w:w="254" w:type="pct"/>
            <w:shd w:val="clear" w:color="auto" w:fill="auto"/>
            <w:tcMar>
              <w:top w:w="15" w:type="dxa"/>
              <w:left w:w="15" w:type="dxa"/>
              <w:bottom w:w="0" w:type="dxa"/>
              <w:right w:w="15" w:type="dxa"/>
            </w:tcMar>
          </w:tcPr>
          <w:p w14:paraId="2C58CB2F" w14:textId="04AED945"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840</w:t>
            </w:r>
          </w:p>
        </w:tc>
        <w:tc>
          <w:tcPr>
            <w:tcW w:w="405" w:type="pct"/>
            <w:shd w:val="clear" w:color="auto" w:fill="auto"/>
            <w:tcMar>
              <w:top w:w="15" w:type="dxa"/>
              <w:left w:w="15" w:type="dxa"/>
              <w:bottom w:w="0" w:type="dxa"/>
              <w:right w:w="15" w:type="dxa"/>
            </w:tcMar>
          </w:tcPr>
          <w:p w14:paraId="65779A05" w14:textId="42D1CEC2"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-2.18948</w:t>
            </w:r>
          </w:p>
        </w:tc>
        <w:tc>
          <w:tcPr>
            <w:tcW w:w="456" w:type="pct"/>
          </w:tcPr>
          <w:p w14:paraId="66A412F2" w14:textId="05F5C624"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0.219</w:t>
            </w:r>
          </w:p>
        </w:tc>
        <w:tc>
          <w:tcPr>
            <w:tcW w:w="642" w:type="pct"/>
            <w:shd w:val="clear" w:color="auto" w:fill="auto"/>
            <w:tcMar>
              <w:top w:w="15" w:type="dxa"/>
              <w:left w:w="15" w:type="dxa"/>
              <w:bottom w:w="0" w:type="dxa"/>
              <w:right w:w="15" w:type="dxa"/>
            </w:tcMar>
          </w:tcPr>
          <w:p w14:paraId="385CAAC0" w14:textId="40BF0881"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0.81402</w:t>
            </w:r>
          </w:p>
        </w:tc>
      </w:tr>
      <w:tr w:rsidR="003D56F7" w:rsidRPr="006C46AB" w14:paraId="02CDF9C7" w14:textId="77777777" w:rsidTr="003D56F7">
        <w:trPr>
          <w:trHeight w:val="417"/>
        </w:trPr>
        <w:tc>
          <w:tcPr>
            <w:tcW w:w="518" w:type="pct"/>
            <w:shd w:val="clear" w:color="auto" w:fill="auto"/>
            <w:tcMar>
              <w:top w:w="15" w:type="dxa"/>
              <w:left w:w="15" w:type="dxa"/>
              <w:bottom w:w="0" w:type="dxa"/>
              <w:right w:w="15" w:type="dxa"/>
            </w:tcMar>
          </w:tcPr>
          <w:p w14:paraId="28245133" w14:textId="603211F8"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4057</w:t>
            </w:r>
          </w:p>
        </w:tc>
        <w:tc>
          <w:tcPr>
            <w:tcW w:w="1536" w:type="pct"/>
          </w:tcPr>
          <w:p w14:paraId="144BE167" w14:textId="7BE84ADB" w:rsidR="003D56F7" w:rsidRPr="006C46AB" w:rsidRDefault="003D56F7" w:rsidP="003961A5">
            <w:pPr>
              <w:widowControl w:val="0"/>
              <w:rPr>
                <w:rFonts w:asciiTheme="majorHAnsi" w:hAnsiTheme="majorHAnsi"/>
                <w:color w:val="000000"/>
              </w:rPr>
            </w:pPr>
            <w:proofErr w:type="spellStart"/>
            <w:r w:rsidRPr="006C46AB">
              <w:rPr>
                <w:rFonts w:asciiTheme="majorHAnsi" w:hAnsiTheme="majorHAnsi"/>
                <w:color w:val="000000"/>
              </w:rPr>
              <w:t>Lactotransferrin</w:t>
            </w:r>
            <w:proofErr w:type="spellEnd"/>
            <w:r w:rsidRPr="006C46AB">
              <w:rPr>
                <w:rFonts w:asciiTheme="majorHAnsi" w:hAnsiTheme="majorHAnsi"/>
                <w:color w:val="000000"/>
              </w:rPr>
              <w:t>; antimicrobial peptide and iron sequestration</w:t>
            </w:r>
          </w:p>
        </w:tc>
        <w:tc>
          <w:tcPr>
            <w:tcW w:w="1188" w:type="pct"/>
            <w:vMerge/>
          </w:tcPr>
          <w:p w14:paraId="3E12F805"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78C1BC38" w14:textId="198CA5C1"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2593</w:t>
            </w:r>
          </w:p>
        </w:tc>
        <w:tc>
          <w:tcPr>
            <w:tcW w:w="405" w:type="pct"/>
            <w:shd w:val="clear" w:color="auto" w:fill="auto"/>
            <w:tcMar>
              <w:top w:w="15" w:type="dxa"/>
              <w:left w:w="15" w:type="dxa"/>
              <w:bottom w:w="0" w:type="dxa"/>
              <w:right w:w="15" w:type="dxa"/>
            </w:tcMar>
          </w:tcPr>
          <w:p w14:paraId="3B5E9978" w14:textId="43BF89B2"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-5.38692</w:t>
            </w:r>
          </w:p>
        </w:tc>
        <w:tc>
          <w:tcPr>
            <w:tcW w:w="456" w:type="pct"/>
          </w:tcPr>
          <w:p w14:paraId="37326470" w14:textId="26124E6D"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0.024</w:t>
            </w:r>
          </w:p>
        </w:tc>
        <w:tc>
          <w:tcPr>
            <w:tcW w:w="642" w:type="pct"/>
            <w:shd w:val="clear" w:color="auto" w:fill="auto"/>
            <w:tcMar>
              <w:top w:w="15" w:type="dxa"/>
              <w:left w:w="15" w:type="dxa"/>
              <w:bottom w:w="0" w:type="dxa"/>
              <w:right w:w="15" w:type="dxa"/>
            </w:tcMar>
          </w:tcPr>
          <w:p w14:paraId="23440058" w14:textId="2757807E"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0.80093</w:t>
            </w:r>
          </w:p>
        </w:tc>
      </w:tr>
      <w:tr w:rsidR="003D56F7" w:rsidRPr="006C46AB" w14:paraId="510D798F" w14:textId="77777777" w:rsidTr="003D56F7">
        <w:trPr>
          <w:trHeight w:val="417"/>
        </w:trPr>
        <w:tc>
          <w:tcPr>
            <w:tcW w:w="518" w:type="pct"/>
            <w:shd w:val="clear" w:color="auto" w:fill="auto"/>
            <w:tcMar>
              <w:top w:w="15" w:type="dxa"/>
              <w:left w:w="15" w:type="dxa"/>
              <w:bottom w:w="0" w:type="dxa"/>
              <w:right w:w="15" w:type="dxa"/>
            </w:tcMar>
          </w:tcPr>
          <w:p w14:paraId="7D2FB744" w14:textId="3CEE696F"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4891</w:t>
            </w:r>
          </w:p>
        </w:tc>
        <w:tc>
          <w:tcPr>
            <w:tcW w:w="1536" w:type="pct"/>
          </w:tcPr>
          <w:p w14:paraId="2A96ACBB" w14:textId="214F9EB1"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Solute carrier family 11, member 2 (DMT-1); iron, manganese and zinc uptake</w:t>
            </w:r>
          </w:p>
        </w:tc>
        <w:tc>
          <w:tcPr>
            <w:tcW w:w="1188" w:type="pct"/>
            <w:vMerge/>
          </w:tcPr>
          <w:p w14:paraId="716D53AD"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0A301A93" w14:textId="0687BE34"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4424</w:t>
            </w:r>
          </w:p>
        </w:tc>
        <w:tc>
          <w:tcPr>
            <w:tcW w:w="405" w:type="pct"/>
            <w:shd w:val="clear" w:color="auto" w:fill="auto"/>
            <w:tcMar>
              <w:top w:w="15" w:type="dxa"/>
              <w:left w:w="15" w:type="dxa"/>
              <w:bottom w:w="0" w:type="dxa"/>
              <w:right w:w="15" w:type="dxa"/>
            </w:tcMar>
          </w:tcPr>
          <w:p w14:paraId="72781D4A" w14:textId="20987276"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-1.84634</w:t>
            </w:r>
          </w:p>
        </w:tc>
        <w:tc>
          <w:tcPr>
            <w:tcW w:w="456" w:type="pct"/>
          </w:tcPr>
          <w:p w14:paraId="0508A050" w14:textId="136BDABB"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0.277</w:t>
            </w:r>
          </w:p>
        </w:tc>
        <w:tc>
          <w:tcPr>
            <w:tcW w:w="642" w:type="pct"/>
            <w:shd w:val="clear" w:color="auto" w:fill="auto"/>
            <w:tcMar>
              <w:top w:w="15" w:type="dxa"/>
              <w:left w:w="15" w:type="dxa"/>
              <w:bottom w:w="0" w:type="dxa"/>
              <w:right w:w="15" w:type="dxa"/>
            </w:tcMar>
          </w:tcPr>
          <w:p w14:paraId="36FADD6D" w14:textId="2BB304D0"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0.804259</w:t>
            </w:r>
          </w:p>
        </w:tc>
      </w:tr>
      <w:tr w:rsidR="003D56F7" w:rsidRPr="006C46AB" w14:paraId="3D92A262" w14:textId="77777777" w:rsidTr="003D56F7">
        <w:trPr>
          <w:trHeight w:val="417"/>
        </w:trPr>
        <w:tc>
          <w:tcPr>
            <w:tcW w:w="518" w:type="pct"/>
            <w:shd w:val="clear" w:color="auto" w:fill="auto"/>
            <w:tcMar>
              <w:top w:w="15" w:type="dxa"/>
              <w:left w:w="15" w:type="dxa"/>
              <w:bottom w:w="0" w:type="dxa"/>
              <w:right w:w="15" w:type="dxa"/>
            </w:tcMar>
          </w:tcPr>
          <w:p w14:paraId="23BE117B" w14:textId="7AA2687A"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55600</w:t>
            </w:r>
          </w:p>
        </w:tc>
        <w:tc>
          <w:tcPr>
            <w:tcW w:w="1536" w:type="pct"/>
          </w:tcPr>
          <w:p w14:paraId="4DB16616" w14:textId="438F19F7" w:rsidR="003D56F7" w:rsidRPr="006C46AB" w:rsidRDefault="003D56F7" w:rsidP="003961A5">
            <w:pPr>
              <w:widowControl w:val="0"/>
              <w:rPr>
                <w:rFonts w:asciiTheme="majorHAnsi" w:hAnsiTheme="majorHAnsi"/>
                <w:color w:val="000000"/>
              </w:rPr>
            </w:pPr>
            <w:proofErr w:type="spellStart"/>
            <w:r w:rsidRPr="006C46AB">
              <w:rPr>
                <w:rFonts w:asciiTheme="majorHAnsi" w:hAnsiTheme="majorHAnsi"/>
                <w:color w:val="000000"/>
              </w:rPr>
              <w:t>Intelectin</w:t>
            </w:r>
            <w:proofErr w:type="spellEnd"/>
            <w:r w:rsidRPr="006C46AB">
              <w:rPr>
                <w:rFonts w:asciiTheme="majorHAnsi" w:hAnsiTheme="majorHAnsi"/>
                <w:color w:val="000000"/>
              </w:rPr>
              <w:t xml:space="preserve"> 1; </w:t>
            </w:r>
            <w:proofErr w:type="spellStart"/>
            <w:r w:rsidRPr="006C46AB">
              <w:rPr>
                <w:rFonts w:asciiTheme="majorHAnsi" w:hAnsiTheme="majorHAnsi"/>
                <w:color w:val="000000"/>
              </w:rPr>
              <w:t>lactoferrin</w:t>
            </w:r>
            <w:proofErr w:type="spellEnd"/>
            <w:r w:rsidRPr="006C46AB">
              <w:rPr>
                <w:rFonts w:asciiTheme="majorHAnsi" w:hAnsiTheme="majorHAnsi"/>
                <w:color w:val="000000"/>
              </w:rPr>
              <w:t xml:space="preserve"> receptor</w:t>
            </w:r>
          </w:p>
        </w:tc>
        <w:tc>
          <w:tcPr>
            <w:tcW w:w="1188" w:type="pct"/>
            <w:vMerge/>
          </w:tcPr>
          <w:p w14:paraId="29A641FF" w14:textId="0A077C3E"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6A3E8B9B" w14:textId="6ECB090A"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386</w:t>
            </w:r>
          </w:p>
        </w:tc>
        <w:tc>
          <w:tcPr>
            <w:tcW w:w="405" w:type="pct"/>
            <w:shd w:val="clear" w:color="auto" w:fill="auto"/>
            <w:tcMar>
              <w:top w:w="15" w:type="dxa"/>
              <w:left w:w="15" w:type="dxa"/>
              <w:bottom w:w="0" w:type="dxa"/>
              <w:right w:w="15" w:type="dxa"/>
            </w:tcMar>
          </w:tcPr>
          <w:p w14:paraId="7C7EAD72" w14:textId="7FCA1E03"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-3.6465</w:t>
            </w:r>
          </w:p>
        </w:tc>
        <w:tc>
          <w:tcPr>
            <w:tcW w:w="456" w:type="pct"/>
          </w:tcPr>
          <w:p w14:paraId="22D0DD16" w14:textId="187C9E1B"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0.080</w:t>
            </w:r>
          </w:p>
        </w:tc>
        <w:tc>
          <w:tcPr>
            <w:tcW w:w="642" w:type="pct"/>
            <w:shd w:val="clear" w:color="auto" w:fill="auto"/>
            <w:tcMar>
              <w:top w:w="15" w:type="dxa"/>
              <w:left w:w="15" w:type="dxa"/>
              <w:bottom w:w="0" w:type="dxa"/>
              <w:right w:w="15" w:type="dxa"/>
            </w:tcMar>
          </w:tcPr>
          <w:p w14:paraId="41BE5368" w14:textId="62385BAB"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0.834541</w:t>
            </w:r>
          </w:p>
        </w:tc>
      </w:tr>
      <w:tr w:rsidR="003D56F7" w:rsidRPr="006C46AB" w14:paraId="4696C11B" w14:textId="77777777" w:rsidTr="003D56F7">
        <w:trPr>
          <w:trHeight w:val="417"/>
        </w:trPr>
        <w:tc>
          <w:tcPr>
            <w:tcW w:w="518" w:type="pct"/>
            <w:shd w:val="clear" w:color="auto" w:fill="auto"/>
            <w:tcMar>
              <w:top w:w="15" w:type="dxa"/>
              <w:left w:w="15" w:type="dxa"/>
              <w:bottom w:w="0" w:type="dxa"/>
              <w:right w:w="15" w:type="dxa"/>
            </w:tcMar>
          </w:tcPr>
          <w:p w14:paraId="2D486C9B" w14:textId="41C1C67B"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1179</w:t>
            </w:r>
          </w:p>
        </w:tc>
        <w:tc>
          <w:tcPr>
            <w:tcW w:w="1536" w:type="pct"/>
          </w:tcPr>
          <w:p w14:paraId="4E7B52C5" w14:textId="41E84309"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Chloride channel accessory 1</w:t>
            </w:r>
          </w:p>
        </w:tc>
        <w:tc>
          <w:tcPr>
            <w:tcW w:w="1188" w:type="pct"/>
          </w:tcPr>
          <w:p w14:paraId="6C232EF3" w14:textId="35CA86BE"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 xml:space="preserve">Nutrient and electrolyte transport, not </w:t>
            </w:r>
            <w:proofErr w:type="spellStart"/>
            <w:r w:rsidRPr="006C46AB">
              <w:rPr>
                <w:rFonts w:asciiTheme="majorHAnsi" w:hAnsiTheme="majorHAnsi"/>
                <w:color w:val="000000"/>
              </w:rPr>
              <w:t>cations</w:t>
            </w:r>
            <w:proofErr w:type="spellEnd"/>
          </w:p>
        </w:tc>
        <w:tc>
          <w:tcPr>
            <w:tcW w:w="254" w:type="pct"/>
            <w:shd w:val="clear" w:color="auto" w:fill="auto"/>
            <w:tcMar>
              <w:top w:w="15" w:type="dxa"/>
              <w:left w:w="15" w:type="dxa"/>
              <w:bottom w:w="0" w:type="dxa"/>
              <w:right w:w="15" w:type="dxa"/>
            </w:tcMar>
          </w:tcPr>
          <w:p w14:paraId="1CCD02E3" w14:textId="2FD22820"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3123</w:t>
            </w:r>
          </w:p>
        </w:tc>
        <w:tc>
          <w:tcPr>
            <w:tcW w:w="405" w:type="pct"/>
            <w:shd w:val="clear" w:color="auto" w:fill="auto"/>
            <w:tcMar>
              <w:top w:w="15" w:type="dxa"/>
              <w:left w:w="15" w:type="dxa"/>
              <w:bottom w:w="0" w:type="dxa"/>
              <w:right w:w="15" w:type="dxa"/>
            </w:tcMar>
          </w:tcPr>
          <w:p w14:paraId="7FF47370" w14:textId="2C5A334F"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-3.4113</w:t>
            </w:r>
          </w:p>
        </w:tc>
        <w:tc>
          <w:tcPr>
            <w:tcW w:w="456" w:type="pct"/>
          </w:tcPr>
          <w:p w14:paraId="5FFD79A2" w14:textId="1B6F35D1"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0.094</w:t>
            </w:r>
          </w:p>
        </w:tc>
        <w:tc>
          <w:tcPr>
            <w:tcW w:w="642" w:type="pct"/>
            <w:shd w:val="clear" w:color="auto" w:fill="auto"/>
            <w:tcMar>
              <w:top w:w="15" w:type="dxa"/>
              <w:left w:w="15" w:type="dxa"/>
              <w:bottom w:w="0" w:type="dxa"/>
              <w:right w:w="15" w:type="dxa"/>
            </w:tcMar>
          </w:tcPr>
          <w:p w14:paraId="1A303610" w14:textId="14705DC8"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0.827942</w:t>
            </w:r>
          </w:p>
        </w:tc>
      </w:tr>
      <w:tr w:rsidR="003D56F7" w:rsidRPr="006C46AB" w14:paraId="7309CD46" w14:textId="77777777" w:rsidTr="003D56F7">
        <w:trPr>
          <w:trHeight w:val="417"/>
        </w:trPr>
        <w:tc>
          <w:tcPr>
            <w:tcW w:w="518" w:type="pct"/>
            <w:shd w:val="clear" w:color="auto" w:fill="auto"/>
            <w:tcMar>
              <w:top w:w="15" w:type="dxa"/>
              <w:left w:w="15" w:type="dxa"/>
              <w:bottom w:w="0" w:type="dxa"/>
              <w:right w:w="15" w:type="dxa"/>
            </w:tcMar>
          </w:tcPr>
          <w:p w14:paraId="2816E468" w14:textId="77777777"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29802</w:t>
            </w:r>
          </w:p>
        </w:tc>
        <w:tc>
          <w:tcPr>
            <w:tcW w:w="1536" w:type="pct"/>
          </w:tcPr>
          <w:p w14:paraId="11453A08" w14:textId="77777777"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Pre-B lymphocyte 3</w:t>
            </w:r>
          </w:p>
        </w:tc>
        <w:tc>
          <w:tcPr>
            <w:tcW w:w="1188" w:type="pct"/>
            <w:vMerge w:val="restart"/>
          </w:tcPr>
          <w:p w14:paraId="5BB89DA6" w14:textId="204894A6"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Immune function and inflammation</w:t>
            </w:r>
          </w:p>
        </w:tc>
        <w:tc>
          <w:tcPr>
            <w:tcW w:w="254" w:type="pct"/>
            <w:shd w:val="clear" w:color="auto" w:fill="auto"/>
            <w:tcMar>
              <w:top w:w="15" w:type="dxa"/>
              <w:left w:w="15" w:type="dxa"/>
              <w:bottom w:w="0" w:type="dxa"/>
              <w:right w:w="15" w:type="dxa"/>
            </w:tcMar>
          </w:tcPr>
          <w:p w14:paraId="27D00CFD" w14:textId="4CEDD95D"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602</w:t>
            </w:r>
          </w:p>
        </w:tc>
        <w:tc>
          <w:tcPr>
            <w:tcW w:w="405" w:type="pct"/>
            <w:shd w:val="clear" w:color="auto" w:fill="auto"/>
            <w:tcMar>
              <w:top w:w="15" w:type="dxa"/>
              <w:left w:w="15" w:type="dxa"/>
              <w:bottom w:w="0" w:type="dxa"/>
              <w:right w:w="15" w:type="dxa"/>
            </w:tcMar>
          </w:tcPr>
          <w:p w14:paraId="738F15B5" w14:textId="77777777"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-4.7429</w:t>
            </w:r>
          </w:p>
        </w:tc>
        <w:tc>
          <w:tcPr>
            <w:tcW w:w="456" w:type="pct"/>
          </w:tcPr>
          <w:p w14:paraId="6EBE6E03" w14:textId="2508CC55"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0.037</w:t>
            </w:r>
          </w:p>
        </w:tc>
        <w:tc>
          <w:tcPr>
            <w:tcW w:w="642" w:type="pct"/>
            <w:shd w:val="clear" w:color="auto" w:fill="auto"/>
            <w:tcMar>
              <w:top w:w="15" w:type="dxa"/>
              <w:left w:w="15" w:type="dxa"/>
              <w:bottom w:w="0" w:type="dxa"/>
              <w:right w:w="15" w:type="dxa"/>
            </w:tcMar>
          </w:tcPr>
          <w:p w14:paraId="5340ABC0" w14:textId="3F77B743"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0.815015</w:t>
            </w:r>
          </w:p>
        </w:tc>
      </w:tr>
      <w:tr w:rsidR="003D56F7" w:rsidRPr="006C46AB" w14:paraId="1EFB77D1" w14:textId="77777777" w:rsidTr="003D56F7">
        <w:trPr>
          <w:trHeight w:val="429"/>
        </w:trPr>
        <w:tc>
          <w:tcPr>
            <w:tcW w:w="518" w:type="pct"/>
            <w:shd w:val="clear" w:color="auto" w:fill="auto"/>
            <w:tcMar>
              <w:top w:w="15" w:type="dxa"/>
              <w:left w:w="15" w:type="dxa"/>
              <w:bottom w:w="0" w:type="dxa"/>
              <w:right w:w="15" w:type="dxa"/>
            </w:tcMar>
          </w:tcPr>
          <w:p w14:paraId="1562A85D" w14:textId="4C0AACA1"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2353</w:t>
            </w:r>
          </w:p>
        </w:tc>
        <w:tc>
          <w:tcPr>
            <w:tcW w:w="1536" w:type="pct"/>
          </w:tcPr>
          <w:p w14:paraId="04E1AE30" w14:textId="508D72A8"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c-</w:t>
            </w:r>
            <w:proofErr w:type="spellStart"/>
            <w:r w:rsidRPr="006C46AB">
              <w:rPr>
                <w:rFonts w:asciiTheme="majorHAnsi" w:hAnsiTheme="majorHAnsi"/>
                <w:color w:val="000000"/>
              </w:rPr>
              <w:t>fos</w:t>
            </w:r>
            <w:proofErr w:type="spellEnd"/>
            <w:r w:rsidRPr="006C46AB">
              <w:rPr>
                <w:rFonts w:asciiTheme="majorHAnsi" w:hAnsiTheme="majorHAnsi"/>
                <w:color w:val="000000"/>
              </w:rPr>
              <w:t>; AP-1 subunit</w:t>
            </w:r>
          </w:p>
        </w:tc>
        <w:tc>
          <w:tcPr>
            <w:tcW w:w="1188" w:type="pct"/>
            <w:vMerge/>
          </w:tcPr>
          <w:p w14:paraId="60E415F7"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292B9D38" w14:textId="5D7477FD"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2158</w:t>
            </w:r>
          </w:p>
        </w:tc>
        <w:tc>
          <w:tcPr>
            <w:tcW w:w="405" w:type="pct"/>
            <w:shd w:val="clear" w:color="auto" w:fill="auto"/>
            <w:tcMar>
              <w:top w:w="15" w:type="dxa"/>
              <w:left w:w="15" w:type="dxa"/>
              <w:bottom w:w="0" w:type="dxa"/>
              <w:right w:w="15" w:type="dxa"/>
            </w:tcMar>
          </w:tcPr>
          <w:p w14:paraId="093B23D2" w14:textId="582C0065"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2.765478</w:t>
            </w:r>
          </w:p>
        </w:tc>
        <w:tc>
          <w:tcPr>
            <w:tcW w:w="456" w:type="pct"/>
          </w:tcPr>
          <w:p w14:paraId="3CD9E4CA" w14:textId="2B181A94"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6.80</w:t>
            </w:r>
          </w:p>
        </w:tc>
        <w:tc>
          <w:tcPr>
            <w:tcW w:w="642" w:type="pct"/>
            <w:shd w:val="clear" w:color="auto" w:fill="auto"/>
            <w:tcMar>
              <w:top w:w="15" w:type="dxa"/>
              <w:left w:w="15" w:type="dxa"/>
              <w:bottom w:w="0" w:type="dxa"/>
              <w:right w:w="15" w:type="dxa"/>
            </w:tcMar>
          </w:tcPr>
          <w:p w14:paraId="0E2AE763" w14:textId="56C06B38"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0.854176</w:t>
            </w:r>
          </w:p>
        </w:tc>
      </w:tr>
      <w:tr w:rsidR="003D56F7" w:rsidRPr="006C46AB" w14:paraId="4767B14F" w14:textId="77777777" w:rsidTr="003D56F7">
        <w:trPr>
          <w:trHeight w:val="429"/>
        </w:trPr>
        <w:tc>
          <w:tcPr>
            <w:tcW w:w="518" w:type="pct"/>
            <w:shd w:val="clear" w:color="auto" w:fill="auto"/>
            <w:tcMar>
              <w:top w:w="15" w:type="dxa"/>
              <w:left w:w="15" w:type="dxa"/>
              <w:bottom w:w="0" w:type="dxa"/>
              <w:right w:w="15" w:type="dxa"/>
            </w:tcMar>
          </w:tcPr>
          <w:p w14:paraId="098CBA35" w14:textId="2EDE19D0"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2354</w:t>
            </w:r>
          </w:p>
        </w:tc>
        <w:tc>
          <w:tcPr>
            <w:tcW w:w="1536" w:type="pct"/>
          </w:tcPr>
          <w:p w14:paraId="76D02797" w14:textId="19910B92" w:rsidR="003D56F7" w:rsidRPr="006C46AB" w:rsidRDefault="003D56F7" w:rsidP="003961A5">
            <w:pPr>
              <w:widowControl w:val="0"/>
              <w:rPr>
                <w:rFonts w:asciiTheme="majorHAnsi" w:hAnsiTheme="majorHAnsi"/>
                <w:color w:val="000000"/>
              </w:rPr>
            </w:pPr>
            <w:proofErr w:type="spellStart"/>
            <w:r w:rsidRPr="006C46AB">
              <w:rPr>
                <w:rFonts w:asciiTheme="majorHAnsi" w:hAnsiTheme="majorHAnsi"/>
                <w:color w:val="000000"/>
              </w:rPr>
              <w:t>fos</w:t>
            </w:r>
            <w:proofErr w:type="spellEnd"/>
            <w:r w:rsidRPr="006C46AB">
              <w:rPr>
                <w:rFonts w:asciiTheme="majorHAnsi" w:hAnsiTheme="majorHAnsi"/>
                <w:color w:val="000000"/>
              </w:rPr>
              <w:t xml:space="preserve"> B; AP-1 subunit</w:t>
            </w:r>
          </w:p>
        </w:tc>
        <w:tc>
          <w:tcPr>
            <w:tcW w:w="1188" w:type="pct"/>
            <w:vMerge/>
          </w:tcPr>
          <w:p w14:paraId="2A8BCFBB"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50AD06C9" w14:textId="6C758CB2"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3776</w:t>
            </w:r>
          </w:p>
        </w:tc>
        <w:tc>
          <w:tcPr>
            <w:tcW w:w="405" w:type="pct"/>
            <w:shd w:val="clear" w:color="auto" w:fill="auto"/>
            <w:tcMar>
              <w:top w:w="15" w:type="dxa"/>
              <w:left w:w="15" w:type="dxa"/>
              <w:bottom w:w="0" w:type="dxa"/>
              <w:right w:w="15" w:type="dxa"/>
            </w:tcMar>
          </w:tcPr>
          <w:p w14:paraId="18EA1C4C" w14:textId="74A36C64"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7.030998</w:t>
            </w:r>
          </w:p>
        </w:tc>
        <w:tc>
          <w:tcPr>
            <w:tcW w:w="456" w:type="pct"/>
          </w:tcPr>
          <w:p w14:paraId="684C49D4" w14:textId="3C822F8A"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130.8</w:t>
            </w:r>
          </w:p>
        </w:tc>
        <w:tc>
          <w:tcPr>
            <w:tcW w:w="642" w:type="pct"/>
            <w:shd w:val="clear" w:color="auto" w:fill="auto"/>
            <w:tcMar>
              <w:top w:w="15" w:type="dxa"/>
              <w:left w:w="15" w:type="dxa"/>
              <w:bottom w:w="0" w:type="dxa"/>
              <w:right w:w="15" w:type="dxa"/>
            </w:tcMar>
          </w:tcPr>
          <w:p w14:paraId="51B92906" w14:textId="69669AAB"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0.892508</w:t>
            </w:r>
          </w:p>
        </w:tc>
      </w:tr>
      <w:tr w:rsidR="003D56F7" w:rsidRPr="006C46AB" w14:paraId="4D29A2D7" w14:textId="77777777" w:rsidTr="003D56F7">
        <w:trPr>
          <w:trHeight w:val="429"/>
        </w:trPr>
        <w:tc>
          <w:tcPr>
            <w:tcW w:w="518" w:type="pct"/>
            <w:shd w:val="clear" w:color="auto" w:fill="auto"/>
            <w:tcMar>
              <w:top w:w="15" w:type="dxa"/>
              <w:left w:w="15" w:type="dxa"/>
              <w:bottom w:w="0" w:type="dxa"/>
              <w:right w:w="15" w:type="dxa"/>
            </w:tcMar>
          </w:tcPr>
          <w:p w14:paraId="4B35F5A2" w14:textId="31DCD808"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10578</w:t>
            </w:r>
          </w:p>
        </w:tc>
        <w:tc>
          <w:tcPr>
            <w:tcW w:w="1536" w:type="pct"/>
          </w:tcPr>
          <w:p w14:paraId="701D21D6" w14:textId="00587E75" w:rsidR="003D56F7" w:rsidRPr="006C46AB" w:rsidRDefault="003D56F7" w:rsidP="003961A5">
            <w:pPr>
              <w:widowControl w:val="0"/>
              <w:rPr>
                <w:rFonts w:asciiTheme="majorHAnsi" w:hAnsiTheme="majorHAnsi"/>
                <w:color w:val="000000"/>
              </w:rPr>
            </w:pPr>
            <w:proofErr w:type="spellStart"/>
            <w:r w:rsidRPr="006C46AB">
              <w:rPr>
                <w:rFonts w:asciiTheme="majorHAnsi" w:hAnsiTheme="majorHAnsi"/>
                <w:color w:val="000000"/>
              </w:rPr>
              <w:t>granulysin</w:t>
            </w:r>
            <w:proofErr w:type="spellEnd"/>
            <w:r w:rsidRPr="006C46AB">
              <w:rPr>
                <w:rFonts w:asciiTheme="majorHAnsi" w:hAnsiTheme="majorHAnsi"/>
                <w:color w:val="000000"/>
              </w:rPr>
              <w:t>; cytotoxic cell effector molecule</w:t>
            </w:r>
          </w:p>
        </w:tc>
        <w:tc>
          <w:tcPr>
            <w:tcW w:w="1188" w:type="pct"/>
            <w:vMerge/>
          </w:tcPr>
          <w:p w14:paraId="28A814B7"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532F81A1" w14:textId="5DF7EFEC"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995</w:t>
            </w:r>
          </w:p>
        </w:tc>
        <w:tc>
          <w:tcPr>
            <w:tcW w:w="405" w:type="pct"/>
            <w:shd w:val="clear" w:color="auto" w:fill="auto"/>
            <w:tcMar>
              <w:top w:w="15" w:type="dxa"/>
              <w:left w:w="15" w:type="dxa"/>
              <w:bottom w:w="0" w:type="dxa"/>
              <w:right w:w="15" w:type="dxa"/>
            </w:tcMar>
          </w:tcPr>
          <w:p w14:paraId="608CCC76" w14:textId="0BBC0B07"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2.736818</w:t>
            </w:r>
          </w:p>
        </w:tc>
        <w:tc>
          <w:tcPr>
            <w:tcW w:w="456" w:type="pct"/>
          </w:tcPr>
          <w:p w14:paraId="148CB5F1" w14:textId="47FFC8AF"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6.67</w:t>
            </w:r>
          </w:p>
        </w:tc>
        <w:tc>
          <w:tcPr>
            <w:tcW w:w="642" w:type="pct"/>
            <w:shd w:val="clear" w:color="auto" w:fill="auto"/>
            <w:tcMar>
              <w:top w:w="15" w:type="dxa"/>
              <w:left w:w="15" w:type="dxa"/>
              <w:bottom w:w="0" w:type="dxa"/>
              <w:right w:w="15" w:type="dxa"/>
            </w:tcMar>
          </w:tcPr>
          <w:p w14:paraId="752CA7AE" w14:textId="3AC2C3CE"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0.80525</w:t>
            </w:r>
          </w:p>
        </w:tc>
      </w:tr>
      <w:tr w:rsidR="003D56F7" w:rsidRPr="006C46AB" w14:paraId="36E3CE3B" w14:textId="77777777" w:rsidTr="003D56F7">
        <w:trPr>
          <w:trHeight w:val="429"/>
        </w:trPr>
        <w:tc>
          <w:tcPr>
            <w:tcW w:w="518" w:type="pct"/>
            <w:shd w:val="clear" w:color="auto" w:fill="auto"/>
            <w:tcMar>
              <w:top w:w="15" w:type="dxa"/>
              <w:left w:w="15" w:type="dxa"/>
              <w:bottom w:w="0" w:type="dxa"/>
              <w:right w:w="15" w:type="dxa"/>
            </w:tcMar>
          </w:tcPr>
          <w:p w14:paraId="3DC553D6" w14:textId="243A7FF9"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3127</w:t>
            </w:r>
          </w:p>
        </w:tc>
        <w:tc>
          <w:tcPr>
            <w:tcW w:w="1536" w:type="pct"/>
          </w:tcPr>
          <w:p w14:paraId="562E05B1" w14:textId="734C3F48"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 xml:space="preserve">HLA-DR </w:t>
            </w:r>
            <w:r w:rsidRPr="006C46AB">
              <w:rPr>
                <w:rFonts w:ascii="Symbol" w:hAnsi="Symbol"/>
                <w:color w:val="000000"/>
              </w:rPr>
              <w:t></w:t>
            </w:r>
            <w:r w:rsidRPr="006C46AB">
              <w:rPr>
                <w:rFonts w:asciiTheme="majorHAnsi" w:hAnsiTheme="majorHAnsi"/>
                <w:color w:val="000000"/>
              </w:rPr>
              <w:t>5; antigen presentation</w:t>
            </w:r>
          </w:p>
        </w:tc>
        <w:tc>
          <w:tcPr>
            <w:tcW w:w="1188" w:type="pct"/>
            <w:vMerge/>
          </w:tcPr>
          <w:p w14:paraId="3E9D460C"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3294FFAB" w14:textId="4F24A677"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1171</w:t>
            </w:r>
          </w:p>
        </w:tc>
        <w:tc>
          <w:tcPr>
            <w:tcW w:w="405" w:type="pct"/>
            <w:shd w:val="clear" w:color="auto" w:fill="auto"/>
            <w:tcMar>
              <w:top w:w="15" w:type="dxa"/>
              <w:left w:w="15" w:type="dxa"/>
              <w:bottom w:w="0" w:type="dxa"/>
              <w:right w:w="15" w:type="dxa"/>
            </w:tcMar>
          </w:tcPr>
          <w:p w14:paraId="19211DA3" w14:textId="4C130011"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2.412484</w:t>
            </w:r>
          </w:p>
        </w:tc>
        <w:tc>
          <w:tcPr>
            <w:tcW w:w="456" w:type="pct"/>
          </w:tcPr>
          <w:p w14:paraId="267AB9E1" w14:textId="0FF6680B"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5.32</w:t>
            </w:r>
          </w:p>
        </w:tc>
        <w:tc>
          <w:tcPr>
            <w:tcW w:w="642" w:type="pct"/>
            <w:shd w:val="clear" w:color="auto" w:fill="auto"/>
            <w:tcMar>
              <w:top w:w="15" w:type="dxa"/>
              <w:left w:w="15" w:type="dxa"/>
              <w:bottom w:w="0" w:type="dxa"/>
              <w:right w:w="15" w:type="dxa"/>
            </w:tcMar>
          </w:tcPr>
          <w:p w14:paraId="4D39A10A" w14:textId="7B0215A1"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0.842403</w:t>
            </w:r>
          </w:p>
        </w:tc>
      </w:tr>
      <w:tr w:rsidR="003D56F7" w:rsidRPr="006C46AB" w14:paraId="5CC0445E" w14:textId="77777777" w:rsidTr="003D56F7">
        <w:trPr>
          <w:trHeight w:val="429"/>
        </w:trPr>
        <w:tc>
          <w:tcPr>
            <w:tcW w:w="518" w:type="pct"/>
            <w:shd w:val="clear" w:color="auto" w:fill="auto"/>
            <w:tcMar>
              <w:top w:w="15" w:type="dxa"/>
              <w:left w:w="15" w:type="dxa"/>
              <w:bottom w:w="0" w:type="dxa"/>
              <w:right w:w="15" w:type="dxa"/>
            </w:tcMar>
          </w:tcPr>
          <w:p w14:paraId="0BF20675" w14:textId="1A04C511"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3627</w:t>
            </w:r>
          </w:p>
        </w:tc>
        <w:tc>
          <w:tcPr>
            <w:tcW w:w="1536" w:type="pct"/>
          </w:tcPr>
          <w:p w14:paraId="5EEE639C" w14:textId="4408CF27"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chemokine C-X-C ligand 10; chemokine, interferon-</w:t>
            </w:r>
            <w:r w:rsidRPr="006C46AB">
              <w:rPr>
                <w:rFonts w:ascii="Symbol" w:hAnsi="Symbol"/>
                <w:color w:val="000000"/>
              </w:rPr>
              <w:t></w:t>
            </w:r>
            <w:r w:rsidRPr="006C46AB">
              <w:rPr>
                <w:rFonts w:asciiTheme="majorHAnsi" w:hAnsiTheme="majorHAnsi"/>
                <w:color w:val="000000"/>
              </w:rPr>
              <w:t xml:space="preserve"> pathway</w:t>
            </w:r>
          </w:p>
        </w:tc>
        <w:tc>
          <w:tcPr>
            <w:tcW w:w="1188" w:type="pct"/>
            <w:vMerge/>
          </w:tcPr>
          <w:p w14:paraId="7A703ED8"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3F27E93E" w14:textId="20FFEAEE"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1227</w:t>
            </w:r>
          </w:p>
        </w:tc>
        <w:tc>
          <w:tcPr>
            <w:tcW w:w="405" w:type="pct"/>
            <w:shd w:val="clear" w:color="auto" w:fill="auto"/>
            <w:tcMar>
              <w:top w:w="15" w:type="dxa"/>
              <w:left w:w="15" w:type="dxa"/>
              <w:bottom w:w="0" w:type="dxa"/>
              <w:right w:w="15" w:type="dxa"/>
            </w:tcMar>
          </w:tcPr>
          <w:p w14:paraId="792BC444" w14:textId="14E4652F"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2.902382</w:t>
            </w:r>
          </w:p>
        </w:tc>
        <w:tc>
          <w:tcPr>
            <w:tcW w:w="456" w:type="pct"/>
          </w:tcPr>
          <w:p w14:paraId="1F154F41" w14:textId="190A82CF"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7.48</w:t>
            </w:r>
          </w:p>
        </w:tc>
        <w:tc>
          <w:tcPr>
            <w:tcW w:w="642" w:type="pct"/>
            <w:shd w:val="clear" w:color="auto" w:fill="auto"/>
            <w:tcMar>
              <w:top w:w="15" w:type="dxa"/>
              <w:left w:w="15" w:type="dxa"/>
              <w:bottom w:w="0" w:type="dxa"/>
              <w:right w:w="15" w:type="dxa"/>
            </w:tcMar>
          </w:tcPr>
          <w:p w14:paraId="0F8E2F7B" w14:textId="434904A8"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0.807325</w:t>
            </w:r>
          </w:p>
        </w:tc>
      </w:tr>
      <w:tr w:rsidR="003D56F7" w:rsidRPr="006C46AB" w14:paraId="04ACD16F" w14:textId="77777777" w:rsidTr="003D56F7">
        <w:trPr>
          <w:trHeight w:val="429"/>
        </w:trPr>
        <w:tc>
          <w:tcPr>
            <w:tcW w:w="518" w:type="pct"/>
            <w:shd w:val="clear" w:color="auto" w:fill="auto"/>
            <w:tcMar>
              <w:top w:w="15" w:type="dxa"/>
              <w:left w:w="15" w:type="dxa"/>
              <w:bottom w:w="0" w:type="dxa"/>
              <w:right w:w="15" w:type="dxa"/>
            </w:tcMar>
          </w:tcPr>
          <w:p w14:paraId="6251903E" w14:textId="0A0A6020"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1543</w:t>
            </w:r>
          </w:p>
        </w:tc>
        <w:tc>
          <w:tcPr>
            <w:tcW w:w="1536" w:type="pct"/>
          </w:tcPr>
          <w:p w14:paraId="6E1795B4" w14:textId="4B166924"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Cytochrome P450, family 1, subfamily A, no 1</w:t>
            </w:r>
          </w:p>
        </w:tc>
        <w:tc>
          <w:tcPr>
            <w:tcW w:w="1188" w:type="pct"/>
          </w:tcPr>
          <w:p w14:paraId="19D70BE9" w14:textId="7221DD47"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Xenobiotic metabolism</w:t>
            </w:r>
          </w:p>
        </w:tc>
        <w:tc>
          <w:tcPr>
            <w:tcW w:w="254" w:type="pct"/>
            <w:shd w:val="clear" w:color="auto" w:fill="auto"/>
            <w:tcMar>
              <w:top w:w="15" w:type="dxa"/>
              <w:left w:w="15" w:type="dxa"/>
              <w:bottom w:w="0" w:type="dxa"/>
              <w:right w:w="15" w:type="dxa"/>
            </w:tcMar>
          </w:tcPr>
          <w:p w14:paraId="69F0A450" w14:textId="35CC68CA"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2608</w:t>
            </w:r>
          </w:p>
        </w:tc>
        <w:tc>
          <w:tcPr>
            <w:tcW w:w="405" w:type="pct"/>
            <w:shd w:val="clear" w:color="auto" w:fill="auto"/>
            <w:tcMar>
              <w:top w:w="15" w:type="dxa"/>
              <w:left w:w="15" w:type="dxa"/>
              <w:bottom w:w="0" w:type="dxa"/>
              <w:right w:w="15" w:type="dxa"/>
            </w:tcMar>
          </w:tcPr>
          <w:p w14:paraId="4FDC7385" w14:textId="7DDCD7A2"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2.364329</w:t>
            </w:r>
          </w:p>
        </w:tc>
        <w:tc>
          <w:tcPr>
            <w:tcW w:w="456" w:type="pct"/>
          </w:tcPr>
          <w:p w14:paraId="574882B7" w14:textId="1C496248"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5.15</w:t>
            </w:r>
          </w:p>
        </w:tc>
        <w:tc>
          <w:tcPr>
            <w:tcW w:w="642" w:type="pct"/>
            <w:shd w:val="clear" w:color="auto" w:fill="auto"/>
            <w:tcMar>
              <w:top w:w="15" w:type="dxa"/>
              <w:left w:w="15" w:type="dxa"/>
              <w:bottom w:w="0" w:type="dxa"/>
              <w:right w:w="15" w:type="dxa"/>
            </w:tcMar>
          </w:tcPr>
          <w:p w14:paraId="13CB98AD" w14:textId="464C2485"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0.832779</w:t>
            </w:r>
          </w:p>
        </w:tc>
      </w:tr>
      <w:tr w:rsidR="003D56F7" w:rsidRPr="006C46AB" w14:paraId="50C5F5C9" w14:textId="77777777" w:rsidTr="003D56F7">
        <w:trPr>
          <w:trHeight w:val="429"/>
        </w:trPr>
        <w:tc>
          <w:tcPr>
            <w:tcW w:w="518" w:type="pct"/>
            <w:shd w:val="clear" w:color="auto" w:fill="auto"/>
            <w:tcMar>
              <w:top w:w="15" w:type="dxa"/>
              <w:left w:w="15" w:type="dxa"/>
              <w:bottom w:w="0" w:type="dxa"/>
              <w:right w:w="15" w:type="dxa"/>
            </w:tcMar>
          </w:tcPr>
          <w:p w14:paraId="5A14DF2E" w14:textId="0772EB1B"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139728</w:t>
            </w:r>
          </w:p>
        </w:tc>
        <w:tc>
          <w:tcPr>
            <w:tcW w:w="1536" w:type="pct"/>
          </w:tcPr>
          <w:p w14:paraId="6DC2BF26" w14:textId="5EB22134" w:rsidR="003D56F7" w:rsidRPr="006C46AB" w:rsidRDefault="003D56F7" w:rsidP="003961A5">
            <w:pPr>
              <w:widowControl w:val="0"/>
              <w:rPr>
                <w:rFonts w:asciiTheme="majorHAnsi" w:hAnsiTheme="majorHAnsi"/>
                <w:color w:val="000000"/>
              </w:rPr>
            </w:pPr>
            <w:proofErr w:type="spellStart"/>
            <w:r w:rsidRPr="006C46AB">
              <w:rPr>
                <w:rFonts w:asciiTheme="majorHAnsi" w:hAnsiTheme="majorHAnsi"/>
                <w:color w:val="000000"/>
              </w:rPr>
              <w:t>CaM</w:t>
            </w:r>
            <w:proofErr w:type="spellEnd"/>
            <w:r w:rsidRPr="006C46AB">
              <w:rPr>
                <w:rFonts w:asciiTheme="majorHAnsi" w:hAnsiTheme="majorHAnsi"/>
                <w:color w:val="000000"/>
              </w:rPr>
              <w:t xml:space="preserve"> kinase; PNCK</w:t>
            </w:r>
          </w:p>
        </w:tc>
        <w:tc>
          <w:tcPr>
            <w:tcW w:w="1188" w:type="pct"/>
            <w:vMerge w:val="restart"/>
          </w:tcPr>
          <w:p w14:paraId="06B1D7ED" w14:textId="2E2DFEC6"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Role or function unclear in this context</w:t>
            </w:r>
          </w:p>
        </w:tc>
        <w:tc>
          <w:tcPr>
            <w:tcW w:w="254" w:type="pct"/>
            <w:shd w:val="clear" w:color="auto" w:fill="auto"/>
            <w:tcMar>
              <w:top w:w="15" w:type="dxa"/>
              <w:left w:w="15" w:type="dxa"/>
              <w:bottom w:w="0" w:type="dxa"/>
              <w:right w:w="15" w:type="dxa"/>
            </w:tcMar>
          </w:tcPr>
          <w:p w14:paraId="632C1408" w14:textId="72B0C325"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1888</w:t>
            </w:r>
          </w:p>
        </w:tc>
        <w:tc>
          <w:tcPr>
            <w:tcW w:w="405" w:type="pct"/>
            <w:shd w:val="clear" w:color="auto" w:fill="auto"/>
            <w:tcMar>
              <w:top w:w="15" w:type="dxa"/>
              <w:left w:w="15" w:type="dxa"/>
              <w:bottom w:w="0" w:type="dxa"/>
              <w:right w:w="15" w:type="dxa"/>
            </w:tcMar>
          </w:tcPr>
          <w:p w14:paraId="2D09613B" w14:textId="023B5AEE"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-3.69906</w:t>
            </w:r>
          </w:p>
        </w:tc>
        <w:tc>
          <w:tcPr>
            <w:tcW w:w="456" w:type="pct"/>
          </w:tcPr>
          <w:p w14:paraId="095A2459" w14:textId="3A1C12EF"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0.077</w:t>
            </w:r>
          </w:p>
        </w:tc>
        <w:tc>
          <w:tcPr>
            <w:tcW w:w="642" w:type="pct"/>
            <w:shd w:val="clear" w:color="auto" w:fill="auto"/>
            <w:tcMar>
              <w:top w:w="15" w:type="dxa"/>
              <w:left w:w="15" w:type="dxa"/>
              <w:bottom w:w="0" w:type="dxa"/>
              <w:right w:w="15" w:type="dxa"/>
            </w:tcMar>
          </w:tcPr>
          <w:p w14:paraId="5BE3E49B" w14:textId="620F36B0"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0.805404</w:t>
            </w:r>
          </w:p>
        </w:tc>
      </w:tr>
      <w:tr w:rsidR="003D56F7" w:rsidRPr="006C46AB" w14:paraId="40470FF0" w14:textId="77777777" w:rsidTr="003D56F7">
        <w:trPr>
          <w:trHeight w:val="417"/>
        </w:trPr>
        <w:tc>
          <w:tcPr>
            <w:tcW w:w="518" w:type="pct"/>
            <w:shd w:val="clear" w:color="auto" w:fill="auto"/>
            <w:tcMar>
              <w:top w:w="15" w:type="dxa"/>
              <w:left w:w="15" w:type="dxa"/>
              <w:bottom w:w="0" w:type="dxa"/>
              <w:right w:w="15" w:type="dxa"/>
            </w:tcMar>
          </w:tcPr>
          <w:p w14:paraId="5572F3F0" w14:textId="655054FD"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1843</w:t>
            </w:r>
          </w:p>
        </w:tc>
        <w:tc>
          <w:tcPr>
            <w:tcW w:w="1536" w:type="pct"/>
          </w:tcPr>
          <w:p w14:paraId="360528D0" w14:textId="55D956A9"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Dual specificity phosphatase 1</w:t>
            </w:r>
          </w:p>
        </w:tc>
        <w:tc>
          <w:tcPr>
            <w:tcW w:w="1188" w:type="pct"/>
            <w:vMerge/>
          </w:tcPr>
          <w:p w14:paraId="17B53F87"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7EFB793E" w14:textId="0DDE68B0"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2040</w:t>
            </w:r>
          </w:p>
        </w:tc>
        <w:tc>
          <w:tcPr>
            <w:tcW w:w="405" w:type="pct"/>
            <w:shd w:val="clear" w:color="auto" w:fill="auto"/>
            <w:tcMar>
              <w:top w:w="15" w:type="dxa"/>
              <w:left w:w="15" w:type="dxa"/>
              <w:bottom w:w="0" w:type="dxa"/>
              <w:right w:w="15" w:type="dxa"/>
            </w:tcMar>
          </w:tcPr>
          <w:p w14:paraId="10673CE2" w14:textId="2862F2DE"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1.946366</w:t>
            </w:r>
          </w:p>
        </w:tc>
        <w:tc>
          <w:tcPr>
            <w:tcW w:w="456" w:type="pct"/>
          </w:tcPr>
          <w:p w14:paraId="0F321851" w14:textId="770BFAB3"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3.88</w:t>
            </w:r>
          </w:p>
        </w:tc>
        <w:tc>
          <w:tcPr>
            <w:tcW w:w="642" w:type="pct"/>
            <w:shd w:val="clear" w:color="auto" w:fill="auto"/>
            <w:tcMar>
              <w:top w:w="15" w:type="dxa"/>
              <w:left w:w="15" w:type="dxa"/>
              <w:bottom w:w="0" w:type="dxa"/>
              <w:right w:w="15" w:type="dxa"/>
            </w:tcMar>
          </w:tcPr>
          <w:p w14:paraId="6397593B" w14:textId="219D8CE1"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0.806404</w:t>
            </w:r>
          </w:p>
        </w:tc>
      </w:tr>
      <w:tr w:rsidR="003D56F7" w:rsidRPr="006C46AB" w14:paraId="0F7D360B" w14:textId="77777777" w:rsidTr="003D56F7">
        <w:trPr>
          <w:trHeight w:val="417"/>
        </w:trPr>
        <w:tc>
          <w:tcPr>
            <w:tcW w:w="518" w:type="pct"/>
            <w:shd w:val="clear" w:color="auto" w:fill="auto"/>
            <w:tcMar>
              <w:top w:w="15" w:type="dxa"/>
              <w:left w:w="15" w:type="dxa"/>
              <w:bottom w:w="0" w:type="dxa"/>
              <w:right w:w="15" w:type="dxa"/>
            </w:tcMar>
          </w:tcPr>
          <w:p w14:paraId="2F3568C1" w14:textId="77777777"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692203</w:t>
            </w:r>
          </w:p>
        </w:tc>
        <w:tc>
          <w:tcPr>
            <w:tcW w:w="1536" w:type="pct"/>
          </w:tcPr>
          <w:p w14:paraId="2F0085F9" w14:textId="77777777"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 xml:space="preserve">Small </w:t>
            </w:r>
            <w:proofErr w:type="spellStart"/>
            <w:r w:rsidRPr="006C46AB">
              <w:rPr>
                <w:rFonts w:asciiTheme="majorHAnsi" w:hAnsiTheme="majorHAnsi"/>
                <w:color w:val="000000"/>
              </w:rPr>
              <w:t>nucleolar</w:t>
            </w:r>
            <w:proofErr w:type="spellEnd"/>
            <w:r w:rsidRPr="006C46AB">
              <w:rPr>
                <w:rFonts w:asciiTheme="majorHAnsi" w:hAnsiTheme="majorHAnsi"/>
                <w:color w:val="000000"/>
              </w:rPr>
              <w:t xml:space="preserve"> RNA, C/</w:t>
            </w:r>
            <w:proofErr w:type="spellStart"/>
            <w:r w:rsidRPr="006C46AB">
              <w:rPr>
                <w:rFonts w:asciiTheme="majorHAnsi" w:hAnsiTheme="majorHAnsi"/>
                <w:color w:val="000000"/>
              </w:rPr>
              <w:t>Dbox</w:t>
            </w:r>
            <w:proofErr w:type="spellEnd"/>
            <w:r w:rsidRPr="006C46AB">
              <w:rPr>
                <w:rFonts w:asciiTheme="majorHAnsi" w:hAnsiTheme="majorHAnsi"/>
                <w:color w:val="000000"/>
              </w:rPr>
              <w:t xml:space="preserve"> 88B</w:t>
            </w:r>
          </w:p>
        </w:tc>
        <w:tc>
          <w:tcPr>
            <w:tcW w:w="1188" w:type="pct"/>
            <w:vMerge/>
          </w:tcPr>
          <w:p w14:paraId="327E7C16"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42207916" w14:textId="55C99C50"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97</w:t>
            </w:r>
          </w:p>
        </w:tc>
        <w:tc>
          <w:tcPr>
            <w:tcW w:w="405" w:type="pct"/>
            <w:shd w:val="clear" w:color="auto" w:fill="auto"/>
            <w:tcMar>
              <w:top w:w="15" w:type="dxa"/>
              <w:left w:w="15" w:type="dxa"/>
              <w:bottom w:w="0" w:type="dxa"/>
              <w:right w:w="15" w:type="dxa"/>
            </w:tcMar>
          </w:tcPr>
          <w:p w14:paraId="72D21818" w14:textId="77777777"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-12.4208</w:t>
            </w:r>
          </w:p>
        </w:tc>
        <w:tc>
          <w:tcPr>
            <w:tcW w:w="456" w:type="pct"/>
          </w:tcPr>
          <w:p w14:paraId="34EB2C7A" w14:textId="5788171D"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0.00018</w:t>
            </w:r>
          </w:p>
        </w:tc>
        <w:tc>
          <w:tcPr>
            <w:tcW w:w="642" w:type="pct"/>
            <w:shd w:val="clear" w:color="auto" w:fill="auto"/>
            <w:tcMar>
              <w:top w:w="15" w:type="dxa"/>
              <w:left w:w="15" w:type="dxa"/>
              <w:bottom w:w="0" w:type="dxa"/>
              <w:right w:w="15" w:type="dxa"/>
            </w:tcMar>
          </w:tcPr>
          <w:p w14:paraId="00F343D0" w14:textId="320CECF4"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0.820723</w:t>
            </w:r>
          </w:p>
        </w:tc>
      </w:tr>
      <w:tr w:rsidR="003D56F7" w:rsidRPr="006C46AB" w14:paraId="31419A69" w14:textId="77777777" w:rsidTr="003D56F7">
        <w:trPr>
          <w:trHeight w:val="417"/>
        </w:trPr>
        <w:tc>
          <w:tcPr>
            <w:tcW w:w="518" w:type="pct"/>
            <w:shd w:val="clear" w:color="auto" w:fill="auto"/>
            <w:tcMar>
              <w:top w:w="15" w:type="dxa"/>
              <w:left w:w="15" w:type="dxa"/>
              <w:bottom w:w="0" w:type="dxa"/>
              <w:right w:w="15" w:type="dxa"/>
            </w:tcMar>
          </w:tcPr>
          <w:p w14:paraId="518EEF4E" w14:textId="053C6B8F"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100861532</w:t>
            </w:r>
          </w:p>
        </w:tc>
        <w:tc>
          <w:tcPr>
            <w:tcW w:w="1536" w:type="pct"/>
          </w:tcPr>
          <w:p w14:paraId="737F6839" w14:textId="79F708E3"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unknown function</w:t>
            </w:r>
          </w:p>
        </w:tc>
        <w:tc>
          <w:tcPr>
            <w:tcW w:w="1188" w:type="pct"/>
            <w:vMerge/>
          </w:tcPr>
          <w:p w14:paraId="5C1F3B31"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79CE55FA" w14:textId="151CF8A9"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13357</w:t>
            </w:r>
          </w:p>
        </w:tc>
        <w:tc>
          <w:tcPr>
            <w:tcW w:w="405" w:type="pct"/>
            <w:shd w:val="clear" w:color="auto" w:fill="auto"/>
            <w:tcMar>
              <w:top w:w="15" w:type="dxa"/>
              <w:left w:w="15" w:type="dxa"/>
              <w:bottom w:w="0" w:type="dxa"/>
              <w:right w:w="15" w:type="dxa"/>
            </w:tcMar>
          </w:tcPr>
          <w:p w14:paraId="7BC56103" w14:textId="137C192E"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-3.20998</w:t>
            </w:r>
          </w:p>
        </w:tc>
        <w:tc>
          <w:tcPr>
            <w:tcW w:w="456" w:type="pct"/>
          </w:tcPr>
          <w:p w14:paraId="10A4A9B4" w14:textId="1ADEAC84"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0.108</w:t>
            </w:r>
          </w:p>
        </w:tc>
        <w:tc>
          <w:tcPr>
            <w:tcW w:w="642" w:type="pct"/>
            <w:shd w:val="clear" w:color="auto" w:fill="auto"/>
            <w:tcMar>
              <w:top w:w="15" w:type="dxa"/>
              <w:left w:w="15" w:type="dxa"/>
              <w:bottom w:w="0" w:type="dxa"/>
              <w:right w:w="15" w:type="dxa"/>
            </w:tcMar>
          </w:tcPr>
          <w:p w14:paraId="5E27A068" w14:textId="6B8CFD45"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0.822118</w:t>
            </w:r>
          </w:p>
        </w:tc>
      </w:tr>
      <w:tr w:rsidR="003D56F7" w:rsidRPr="006C46AB" w14:paraId="4D325504" w14:textId="77777777" w:rsidTr="003D56F7">
        <w:trPr>
          <w:trHeight w:val="417"/>
        </w:trPr>
        <w:tc>
          <w:tcPr>
            <w:tcW w:w="518" w:type="pct"/>
            <w:shd w:val="clear" w:color="auto" w:fill="auto"/>
            <w:tcMar>
              <w:top w:w="15" w:type="dxa"/>
              <w:left w:w="15" w:type="dxa"/>
              <w:bottom w:w="0" w:type="dxa"/>
              <w:right w:w="15" w:type="dxa"/>
            </w:tcMar>
          </w:tcPr>
          <w:p w14:paraId="3CCD85D0" w14:textId="77777777"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260436</w:t>
            </w:r>
          </w:p>
        </w:tc>
        <w:tc>
          <w:tcPr>
            <w:tcW w:w="1536" w:type="pct"/>
          </w:tcPr>
          <w:p w14:paraId="339343F8" w14:textId="77777777"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chromosome 4, ORF7</w:t>
            </w:r>
          </w:p>
        </w:tc>
        <w:tc>
          <w:tcPr>
            <w:tcW w:w="1188" w:type="pct"/>
            <w:vMerge/>
          </w:tcPr>
          <w:p w14:paraId="5D7B8FB5" w14:textId="77777777" w:rsidR="003D56F7" w:rsidRPr="006C46AB" w:rsidRDefault="003D56F7" w:rsidP="003961A5">
            <w:pPr>
              <w:widowControl w:val="0"/>
              <w:rPr>
                <w:rFonts w:asciiTheme="majorHAnsi" w:hAnsiTheme="majorHAnsi"/>
                <w:color w:val="000000"/>
              </w:rPr>
            </w:pPr>
          </w:p>
        </w:tc>
        <w:tc>
          <w:tcPr>
            <w:tcW w:w="254" w:type="pct"/>
            <w:shd w:val="clear" w:color="auto" w:fill="auto"/>
            <w:tcMar>
              <w:top w:w="15" w:type="dxa"/>
              <w:left w:w="15" w:type="dxa"/>
              <w:bottom w:w="0" w:type="dxa"/>
              <w:right w:w="15" w:type="dxa"/>
            </w:tcMar>
          </w:tcPr>
          <w:p w14:paraId="33A35EE8" w14:textId="352EBFA9"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573</w:t>
            </w:r>
          </w:p>
        </w:tc>
        <w:tc>
          <w:tcPr>
            <w:tcW w:w="405" w:type="pct"/>
            <w:shd w:val="clear" w:color="auto" w:fill="auto"/>
            <w:tcMar>
              <w:top w:w="15" w:type="dxa"/>
              <w:left w:w="15" w:type="dxa"/>
              <w:bottom w:w="0" w:type="dxa"/>
              <w:right w:w="15" w:type="dxa"/>
            </w:tcMar>
          </w:tcPr>
          <w:p w14:paraId="1D7CADA5" w14:textId="77777777"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-7.68911</w:t>
            </w:r>
          </w:p>
        </w:tc>
        <w:tc>
          <w:tcPr>
            <w:tcW w:w="456" w:type="pct"/>
          </w:tcPr>
          <w:p w14:paraId="17ED83A3" w14:textId="59BDEBFE" w:rsidR="003D56F7" w:rsidRPr="006C46AB" w:rsidRDefault="003D56F7" w:rsidP="003961A5">
            <w:pPr>
              <w:widowControl w:val="0"/>
              <w:rPr>
                <w:rFonts w:asciiTheme="majorHAnsi" w:hAnsiTheme="majorHAnsi"/>
                <w:color w:val="000000"/>
              </w:rPr>
            </w:pPr>
            <w:r w:rsidRPr="006C46AB">
              <w:rPr>
                <w:rFonts w:asciiTheme="majorHAnsi" w:hAnsiTheme="majorHAnsi"/>
                <w:color w:val="000000"/>
              </w:rPr>
              <w:t>0.0048</w:t>
            </w:r>
          </w:p>
        </w:tc>
        <w:tc>
          <w:tcPr>
            <w:tcW w:w="642" w:type="pct"/>
            <w:shd w:val="clear" w:color="auto" w:fill="auto"/>
            <w:tcMar>
              <w:top w:w="15" w:type="dxa"/>
              <w:left w:w="15" w:type="dxa"/>
              <w:bottom w:w="0" w:type="dxa"/>
              <w:right w:w="15" w:type="dxa"/>
            </w:tcMar>
          </w:tcPr>
          <w:p w14:paraId="531E51BB" w14:textId="180F243A" w:rsidR="003D56F7" w:rsidRPr="006C46AB" w:rsidRDefault="003D56F7" w:rsidP="003961A5">
            <w:pPr>
              <w:widowControl w:val="0"/>
              <w:rPr>
                <w:rFonts w:asciiTheme="majorHAnsi" w:hAnsiTheme="majorHAnsi" w:cs="宋体"/>
                <w:color w:val="000000"/>
              </w:rPr>
            </w:pPr>
            <w:r w:rsidRPr="006C46AB">
              <w:rPr>
                <w:rFonts w:asciiTheme="majorHAnsi" w:hAnsiTheme="majorHAnsi"/>
                <w:color w:val="000000"/>
              </w:rPr>
              <w:t>0.937805</w:t>
            </w:r>
          </w:p>
        </w:tc>
      </w:tr>
    </w:tbl>
    <w:p w14:paraId="584029A3" w14:textId="79558967" w:rsidR="00FC7600" w:rsidRPr="006C46AB" w:rsidRDefault="00FC7600" w:rsidP="0025423E">
      <w:pPr>
        <w:widowControl w:val="0"/>
        <w:spacing w:line="360" w:lineRule="auto"/>
        <w:rPr>
          <w:rFonts w:asciiTheme="majorHAnsi" w:hAnsiTheme="majorHAnsi"/>
        </w:rPr>
      </w:pPr>
      <w:r w:rsidRPr="006C46AB">
        <w:rPr>
          <w:rFonts w:asciiTheme="majorHAnsi" w:hAnsiTheme="majorHAnsi"/>
        </w:rPr>
        <w:t xml:space="preserve">The </w:t>
      </w:r>
      <w:r w:rsidRPr="006C46AB">
        <w:rPr>
          <w:rFonts w:asciiTheme="majorHAnsi" w:hAnsiTheme="majorHAnsi"/>
          <w:b/>
        </w:rPr>
        <w:t>Probability</w:t>
      </w:r>
      <w:r w:rsidRPr="006C46AB">
        <w:rPr>
          <w:rFonts w:asciiTheme="majorHAnsi" w:hAnsiTheme="majorHAnsi"/>
        </w:rPr>
        <w:t xml:space="preserve"> shown is derived from RKPM-normalised values using </w:t>
      </w:r>
      <w:proofErr w:type="spellStart"/>
      <w:r w:rsidRPr="006C46AB">
        <w:rPr>
          <w:rFonts w:asciiTheme="majorHAnsi" w:hAnsiTheme="majorHAnsi"/>
        </w:rPr>
        <w:t>NOIseq</w:t>
      </w:r>
      <w:proofErr w:type="spellEnd"/>
      <w:r w:rsidRPr="006C46AB">
        <w:rPr>
          <w:rFonts w:asciiTheme="majorHAnsi" w:hAnsiTheme="majorHAnsi"/>
        </w:rPr>
        <w:t xml:space="preserve"> (non-parametric) computation of signal to noise ratio, and using a standard threshold, q, of 0.8 which corresponds to an odds ratio of 4:1 that the ge</w:t>
      </w:r>
      <w:r w:rsidR="00DD2452" w:rsidRPr="006C46AB">
        <w:rPr>
          <w:rFonts w:asciiTheme="majorHAnsi" w:hAnsiTheme="majorHAnsi"/>
        </w:rPr>
        <w:t>ne is differentially expressed. V</w:t>
      </w:r>
      <w:r w:rsidRPr="006C46AB">
        <w:rPr>
          <w:rFonts w:asciiTheme="majorHAnsi" w:hAnsiTheme="majorHAnsi"/>
        </w:rPr>
        <w:t xml:space="preserve">alues of Probability </w:t>
      </w:r>
      <w:r w:rsidR="00DD2452" w:rsidRPr="006C46AB">
        <w:rPr>
          <w:rFonts w:asciiTheme="majorHAnsi" w:hAnsiTheme="majorHAnsi"/>
        </w:rPr>
        <w:t xml:space="preserve">shown indicate the probability that a given transcript is differentially expressed; higher values indicate greater probability of differential expression; values </w:t>
      </w:r>
      <w:r w:rsidRPr="006C46AB">
        <w:rPr>
          <w:rFonts w:asciiTheme="majorHAnsi" w:hAnsiTheme="majorHAnsi"/>
        </w:rPr>
        <w:t>greater than 0.8 are accepted as significant</w:t>
      </w:r>
      <w:r w:rsidRPr="006C46AB">
        <w:rPr>
          <w:rFonts w:asciiTheme="majorHAnsi" w:hAnsiTheme="majorHAnsi"/>
          <w:vertAlign w:val="superscript"/>
        </w:rPr>
        <w:t>29</w:t>
      </w:r>
      <w:r w:rsidRPr="006C46AB">
        <w:rPr>
          <w:rFonts w:asciiTheme="majorHAnsi" w:hAnsiTheme="majorHAnsi"/>
        </w:rPr>
        <w:t>.</w:t>
      </w:r>
    </w:p>
    <w:p w14:paraId="0CD5CEC7" w14:textId="77777777" w:rsidR="003D56F7" w:rsidRPr="006C46AB" w:rsidRDefault="003D56F7" w:rsidP="0025423E">
      <w:pPr>
        <w:widowControl w:val="0"/>
        <w:spacing w:line="360" w:lineRule="auto"/>
        <w:rPr>
          <w:rFonts w:asciiTheme="majorHAnsi" w:hAnsiTheme="majorHAnsi"/>
        </w:rPr>
      </w:pPr>
    </w:p>
    <w:p w14:paraId="016A7267" w14:textId="77777777" w:rsidR="003D56F7" w:rsidRPr="006C46AB" w:rsidRDefault="003D56F7" w:rsidP="0025423E">
      <w:pPr>
        <w:widowControl w:val="0"/>
        <w:spacing w:line="360" w:lineRule="auto"/>
        <w:rPr>
          <w:rFonts w:asciiTheme="majorHAnsi" w:hAnsiTheme="majorHAnsi"/>
        </w:rPr>
      </w:pPr>
    </w:p>
    <w:p w14:paraId="18298B68" w14:textId="77777777" w:rsidR="003D56F7" w:rsidRPr="006C46AB" w:rsidRDefault="003D56F7" w:rsidP="0025423E">
      <w:pPr>
        <w:widowControl w:val="0"/>
        <w:spacing w:line="360" w:lineRule="auto"/>
        <w:rPr>
          <w:rFonts w:asciiTheme="majorHAnsi" w:hAnsiTheme="majorHAnsi"/>
        </w:rPr>
        <w:sectPr w:rsidR="003D56F7" w:rsidRPr="006C46AB" w:rsidSect="003D56F7">
          <w:pgSz w:w="16840" w:h="11900" w:orient="landscape"/>
          <w:pgMar w:top="1418" w:right="1440" w:bottom="1418" w:left="1440" w:header="708" w:footer="708" w:gutter="0"/>
          <w:cols w:space="708"/>
          <w:titlePg/>
          <w:docGrid w:linePitch="360"/>
        </w:sectPr>
      </w:pPr>
    </w:p>
    <w:p w14:paraId="7032DE44" w14:textId="2D6BB5C8" w:rsidR="00FC7600" w:rsidRPr="006C46AB" w:rsidRDefault="00FC7600" w:rsidP="0025423E">
      <w:pPr>
        <w:widowControl w:val="0"/>
        <w:spacing w:line="360" w:lineRule="auto"/>
        <w:rPr>
          <w:rFonts w:asciiTheme="majorHAnsi" w:hAnsiTheme="majorHAnsi"/>
        </w:rPr>
      </w:pPr>
    </w:p>
    <w:p w14:paraId="6A85B94E" w14:textId="77777777" w:rsidR="00FC7600" w:rsidRPr="006C46AB" w:rsidRDefault="00FC7600" w:rsidP="0025423E">
      <w:pPr>
        <w:widowControl w:val="0"/>
        <w:spacing w:line="360" w:lineRule="auto"/>
        <w:rPr>
          <w:rFonts w:asciiTheme="majorHAnsi" w:hAnsiTheme="majorHAnsi"/>
        </w:rPr>
      </w:pPr>
    </w:p>
    <w:p w14:paraId="6B2B3F06" w14:textId="77777777" w:rsidR="003123FC" w:rsidRPr="006C46AB" w:rsidRDefault="003123FC" w:rsidP="0025423E">
      <w:pPr>
        <w:widowControl w:val="0"/>
        <w:spacing w:line="360" w:lineRule="auto"/>
        <w:rPr>
          <w:rFonts w:asciiTheme="majorHAnsi" w:hAnsiTheme="majorHAnsi"/>
          <w:b/>
        </w:rPr>
      </w:pPr>
      <w:r w:rsidRPr="006C46AB">
        <w:rPr>
          <w:rFonts w:asciiTheme="majorHAnsi" w:hAnsiTheme="majorHAnsi"/>
          <w:b/>
        </w:rPr>
        <w:t>Discussion</w:t>
      </w:r>
    </w:p>
    <w:p w14:paraId="751DA9AF" w14:textId="44B6812D" w:rsidR="003123FC" w:rsidRPr="006C46AB" w:rsidRDefault="00EF1E60" w:rsidP="0025423E">
      <w:pPr>
        <w:widowControl w:val="0"/>
        <w:spacing w:line="360" w:lineRule="auto"/>
        <w:rPr>
          <w:rFonts w:asciiTheme="majorHAnsi" w:hAnsiTheme="majorHAnsi"/>
        </w:rPr>
      </w:pPr>
      <w:r w:rsidRPr="006C46AB">
        <w:rPr>
          <w:rFonts w:asciiTheme="majorHAnsi" w:hAnsiTheme="majorHAnsi"/>
        </w:rPr>
        <w:t xml:space="preserve">Environmental enteropathy </w:t>
      </w:r>
      <w:r w:rsidR="00582A63" w:rsidRPr="006C46AB">
        <w:rPr>
          <w:rFonts w:asciiTheme="majorHAnsi" w:hAnsiTheme="majorHAnsi"/>
        </w:rPr>
        <w:t>has emerged as an important problem in</w:t>
      </w:r>
      <w:r w:rsidRPr="006C46AB">
        <w:rPr>
          <w:rFonts w:asciiTheme="majorHAnsi" w:hAnsiTheme="majorHAnsi"/>
        </w:rPr>
        <w:t xml:space="preserve"> global health</w:t>
      </w:r>
      <w:r w:rsidR="009B425E" w:rsidRPr="006C46AB">
        <w:rPr>
          <w:rFonts w:asciiTheme="majorHAnsi" w:hAnsiTheme="majorHAnsi"/>
        </w:rPr>
        <w:t>, particularly in children</w:t>
      </w:r>
      <w:r w:rsidRPr="006C46AB">
        <w:rPr>
          <w:rFonts w:asciiTheme="majorHAnsi" w:hAnsiTheme="majorHAnsi"/>
        </w:rPr>
        <w:t xml:space="preserve">. Improved child growth and development, reduced burden of vaccine-preventable diseases, and improved micronutrient status are three of the possible </w:t>
      </w:r>
      <w:r w:rsidR="00B20FD7" w:rsidRPr="006C46AB">
        <w:rPr>
          <w:rFonts w:asciiTheme="majorHAnsi" w:hAnsiTheme="majorHAnsi"/>
        </w:rPr>
        <w:t>reward</w:t>
      </w:r>
      <w:r w:rsidRPr="006C46AB">
        <w:rPr>
          <w:rFonts w:asciiTheme="majorHAnsi" w:hAnsiTheme="majorHAnsi"/>
        </w:rPr>
        <w:t>s for a successful approach to its prevention</w:t>
      </w:r>
      <w:r w:rsidR="00760D85" w:rsidRPr="006C46AB">
        <w:rPr>
          <w:rFonts w:asciiTheme="majorHAnsi" w:hAnsiTheme="majorHAnsi"/>
          <w:vertAlign w:val="superscript"/>
        </w:rPr>
        <w:t>3</w:t>
      </w:r>
      <w:r w:rsidR="006F1C78" w:rsidRPr="006C46AB">
        <w:rPr>
          <w:rFonts w:asciiTheme="majorHAnsi" w:hAnsiTheme="majorHAnsi"/>
          <w:vertAlign w:val="superscript"/>
        </w:rPr>
        <w:t>4</w:t>
      </w:r>
      <w:r w:rsidRPr="006C46AB">
        <w:rPr>
          <w:rFonts w:asciiTheme="majorHAnsi" w:hAnsiTheme="majorHAnsi"/>
        </w:rPr>
        <w:t xml:space="preserve">. The data we present here </w:t>
      </w:r>
      <w:r w:rsidR="00BC7949" w:rsidRPr="006C46AB">
        <w:rPr>
          <w:rFonts w:asciiTheme="majorHAnsi" w:hAnsiTheme="majorHAnsi"/>
        </w:rPr>
        <w:t xml:space="preserve">from Africans living in Africa </w:t>
      </w:r>
      <w:r w:rsidRPr="006C46AB">
        <w:rPr>
          <w:rFonts w:asciiTheme="majorHAnsi" w:hAnsiTheme="majorHAnsi"/>
        </w:rPr>
        <w:t>suggest that the small intestinal lesion</w:t>
      </w:r>
      <w:r w:rsidR="00D31F44" w:rsidRPr="006C46AB">
        <w:rPr>
          <w:rFonts w:asciiTheme="majorHAnsi" w:hAnsiTheme="majorHAnsi"/>
        </w:rPr>
        <w:t>, which is ub</w:t>
      </w:r>
      <w:r w:rsidR="009B425E" w:rsidRPr="006C46AB">
        <w:rPr>
          <w:rFonts w:asciiTheme="majorHAnsi" w:hAnsiTheme="majorHAnsi"/>
        </w:rPr>
        <w:t>iquitous,</w:t>
      </w:r>
      <w:r w:rsidRPr="006C46AB">
        <w:rPr>
          <w:rFonts w:asciiTheme="majorHAnsi" w:hAnsiTheme="majorHAnsi"/>
        </w:rPr>
        <w:t xml:space="preserve"> </w:t>
      </w:r>
      <w:r w:rsidR="00582A63" w:rsidRPr="006C46AB">
        <w:rPr>
          <w:rFonts w:asciiTheme="majorHAnsi" w:hAnsiTheme="majorHAnsi"/>
        </w:rPr>
        <w:t>can be remarkably severe</w:t>
      </w:r>
      <w:r w:rsidR="008616BF" w:rsidRPr="006C46AB">
        <w:rPr>
          <w:rFonts w:asciiTheme="majorHAnsi" w:hAnsiTheme="majorHAnsi"/>
        </w:rPr>
        <w:t>,</w:t>
      </w:r>
      <w:r w:rsidR="00582A63" w:rsidRPr="006C46AB">
        <w:rPr>
          <w:rFonts w:asciiTheme="majorHAnsi" w:hAnsiTheme="majorHAnsi"/>
        </w:rPr>
        <w:t xml:space="preserve"> even in apparently healthy adults with no symptoms of disease and without recent exposure to </w:t>
      </w:r>
      <w:proofErr w:type="spellStart"/>
      <w:r w:rsidR="00582A63" w:rsidRPr="006C46AB">
        <w:rPr>
          <w:rFonts w:asciiTheme="majorHAnsi" w:hAnsiTheme="majorHAnsi"/>
        </w:rPr>
        <w:t>noxa</w:t>
      </w:r>
      <w:proofErr w:type="spellEnd"/>
      <w:r w:rsidR="00582A63" w:rsidRPr="006C46AB">
        <w:rPr>
          <w:rFonts w:asciiTheme="majorHAnsi" w:hAnsiTheme="majorHAnsi"/>
        </w:rPr>
        <w:t xml:space="preserve"> known to cause specific </w:t>
      </w:r>
      <w:proofErr w:type="spellStart"/>
      <w:r w:rsidR="00582A63" w:rsidRPr="006C46AB">
        <w:rPr>
          <w:rFonts w:asciiTheme="majorHAnsi" w:hAnsiTheme="majorHAnsi"/>
        </w:rPr>
        <w:t>enteropathies</w:t>
      </w:r>
      <w:proofErr w:type="spellEnd"/>
      <w:r w:rsidR="00582A63" w:rsidRPr="006C46AB">
        <w:rPr>
          <w:rFonts w:asciiTheme="majorHAnsi" w:hAnsiTheme="majorHAnsi"/>
        </w:rPr>
        <w:t xml:space="preserve"> such as </w:t>
      </w:r>
      <w:proofErr w:type="spellStart"/>
      <w:r w:rsidR="00582A63" w:rsidRPr="006C46AB">
        <w:rPr>
          <w:rFonts w:asciiTheme="majorHAnsi" w:hAnsiTheme="majorHAnsi"/>
        </w:rPr>
        <w:t>helminth</w:t>
      </w:r>
      <w:proofErr w:type="spellEnd"/>
      <w:r w:rsidR="00582A63" w:rsidRPr="006C46AB">
        <w:rPr>
          <w:rFonts w:asciiTheme="majorHAnsi" w:hAnsiTheme="majorHAnsi"/>
        </w:rPr>
        <w:t xml:space="preserve"> infections or NSAIDs</w:t>
      </w:r>
      <w:r w:rsidRPr="006C46AB">
        <w:rPr>
          <w:rFonts w:asciiTheme="majorHAnsi" w:hAnsiTheme="majorHAnsi"/>
        </w:rPr>
        <w:t xml:space="preserve">. </w:t>
      </w:r>
      <w:r w:rsidR="00A62273" w:rsidRPr="006C46AB">
        <w:rPr>
          <w:rFonts w:asciiTheme="majorHAnsi" w:hAnsiTheme="majorHAnsi"/>
        </w:rPr>
        <w:t>Average villus height was mar</w:t>
      </w:r>
      <w:r w:rsidR="00574E46" w:rsidRPr="006C46AB">
        <w:rPr>
          <w:rFonts w:asciiTheme="majorHAnsi" w:hAnsiTheme="majorHAnsi"/>
        </w:rPr>
        <w:t xml:space="preserve">kedly reduced against European </w:t>
      </w:r>
      <w:r w:rsidR="00A62273" w:rsidRPr="006C46AB">
        <w:rPr>
          <w:rFonts w:asciiTheme="majorHAnsi" w:hAnsiTheme="majorHAnsi"/>
        </w:rPr>
        <w:t>normal values</w:t>
      </w:r>
      <w:r w:rsidR="00574E46" w:rsidRPr="006C46AB">
        <w:rPr>
          <w:rFonts w:asciiTheme="majorHAnsi" w:hAnsiTheme="majorHAnsi"/>
        </w:rPr>
        <w:t xml:space="preserve">. </w:t>
      </w:r>
      <w:r w:rsidRPr="006C46AB">
        <w:rPr>
          <w:rFonts w:asciiTheme="majorHAnsi" w:hAnsiTheme="majorHAnsi"/>
        </w:rPr>
        <w:t>The confoca</w:t>
      </w:r>
      <w:r w:rsidR="004731FC" w:rsidRPr="006C46AB">
        <w:rPr>
          <w:rFonts w:asciiTheme="majorHAnsi" w:hAnsiTheme="majorHAnsi"/>
        </w:rPr>
        <w:t>l endomicrosco</w:t>
      </w:r>
      <w:r w:rsidRPr="006C46AB">
        <w:rPr>
          <w:rFonts w:asciiTheme="majorHAnsi" w:hAnsiTheme="majorHAnsi"/>
        </w:rPr>
        <w:t>py images in many cases show free leakage of fluorescein from systemic circulation to gut lumen</w:t>
      </w:r>
      <w:r w:rsidR="004731FC" w:rsidRPr="006C46AB">
        <w:rPr>
          <w:rFonts w:asciiTheme="majorHAnsi" w:hAnsiTheme="majorHAnsi"/>
        </w:rPr>
        <w:t xml:space="preserve">, and animal work has shown that when this efflux is visible, a bidirectional </w:t>
      </w:r>
      <w:r w:rsidR="000168D4" w:rsidRPr="006C46AB">
        <w:rPr>
          <w:rFonts w:asciiTheme="majorHAnsi" w:hAnsiTheme="majorHAnsi"/>
        </w:rPr>
        <w:t>flux is actually in process</w:t>
      </w:r>
      <w:r w:rsidR="00774472" w:rsidRPr="006C46AB">
        <w:rPr>
          <w:rFonts w:asciiTheme="majorHAnsi" w:hAnsiTheme="majorHAnsi"/>
        </w:rPr>
        <w:t xml:space="preserve"> allowing the ingress of bacteria, antigens and toxins into the body</w:t>
      </w:r>
      <w:r w:rsidR="000168D4" w:rsidRPr="006C46AB">
        <w:rPr>
          <w:rFonts w:asciiTheme="majorHAnsi" w:hAnsiTheme="majorHAnsi"/>
          <w:vertAlign w:val="superscript"/>
        </w:rPr>
        <w:t>2</w:t>
      </w:r>
      <w:r w:rsidR="006F1C78" w:rsidRPr="006C46AB">
        <w:rPr>
          <w:rFonts w:asciiTheme="majorHAnsi" w:hAnsiTheme="majorHAnsi"/>
          <w:vertAlign w:val="superscript"/>
        </w:rPr>
        <w:t>4</w:t>
      </w:r>
      <w:r w:rsidR="004731FC" w:rsidRPr="006C46AB">
        <w:rPr>
          <w:rFonts w:asciiTheme="majorHAnsi" w:hAnsiTheme="majorHAnsi"/>
        </w:rPr>
        <w:t xml:space="preserve">. </w:t>
      </w:r>
      <w:proofErr w:type="spellStart"/>
      <w:r w:rsidR="00C6145A" w:rsidRPr="006C46AB">
        <w:rPr>
          <w:rFonts w:asciiTheme="majorHAnsi" w:hAnsiTheme="majorHAnsi"/>
        </w:rPr>
        <w:t>Immunolocalisation</w:t>
      </w:r>
      <w:proofErr w:type="spellEnd"/>
      <w:r w:rsidR="004731FC" w:rsidRPr="006C46AB">
        <w:rPr>
          <w:rFonts w:asciiTheme="majorHAnsi" w:hAnsiTheme="majorHAnsi"/>
        </w:rPr>
        <w:t xml:space="preserve"> of </w:t>
      </w:r>
      <w:r w:rsidR="00582A63" w:rsidRPr="006C46AB">
        <w:rPr>
          <w:rFonts w:asciiTheme="majorHAnsi" w:hAnsiTheme="majorHAnsi"/>
        </w:rPr>
        <w:t>claudin 4</w:t>
      </w:r>
      <w:r w:rsidR="004731FC" w:rsidRPr="006C46AB">
        <w:rPr>
          <w:rFonts w:asciiTheme="majorHAnsi" w:hAnsiTheme="majorHAnsi"/>
        </w:rPr>
        <w:t xml:space="preserve"> delineates severe lesions, particularly at the villus tip, just where endomicroscopy shows leakage to be f</w:t>
      </w:r>
      <w:r w:rsidR="008616BF" w:rsidRPr="006C46AB">
        <w:rPr>
          <w:rFonts w:asciiTheme="majorHAnsi" w:hAnsiTheme="majorHAnsi"/>
        </w:rPr>
        <w:t xml:space="preserve">requent. </w:t>
      </w:r>
      <w:r w:rsidR="00C6145A" w:rsidRPr="006C46AB">
        <w:rPr>
          <w:rFonts w:asciiTheme="majorHAnsi" w:hAnsiTheme="majorHAnsi"/>
        </w:rPr>
        <w:t xml:space="preserve">Funnels of tight junction proteins, such as claudin 4, characterise points of </w:t>
      </w:r>
      <w:r w:rsidR="00774472" w:rsidRPr="006C46AB">
        <w:rPr>
          <w:rFonts w:asciiTheme="majorHAnsi" w:hAnsiTheme="majorHAnsi"/>
        </w:rPr>
        <w:t>increased cell shedding</w:t>
      </w:r>
      <w:r w:rsidR="00C6145A" w:rsidRPr="006C46AB">
        <w:rPr>
          <w:rFonts w:asciiTheme="majorHAnsi" w:hAnsiTheme="majorHAnsi"/>
        </w:rPr>
        <w:t xml:space="preserve"> and epithelial separation, which </w:t>
      </w:r>
      <w:r w:rsidR="00A02301" w:rsidRPr="006C46AB">
        <w:rPr>
          <w:rFonts w:asciiTheme="majorHAnsi" w:hAnsiTheme="majorHAnsi"/>
        </w:rPr>
        <w:t xml:space="preserve">were </w:t>
      </w:r>
      <w:r w:rsidR="00C6145A" w:rsidRPr="006C46AB">
        <w:rPr>
          <w:rFonts w:asciiTheme="majorHAnsi" w:hAnsiTheme="majorHAnsi"/>
        </w:rPr>
        <w:t xml:space="preserve">seen prominently in these biopsies. </w:t>
      </w:r>
      <w:r w:rsidR="00774472" w:rsidRPr="006C46AB">
        <w:rPr>
          <w:rFonts w:asciiTheme="majorHAnsi" w:hAnsiTheme="majorHAnsi"/>
        </w:rPr>
        <w:t xml:space="preserve">We show that </w:t>
      </w:r>
      <w:r w:rsidR="00A02301" w:rsidRPr="006C46AB">
        <w:rPr>
          <w:rFonts w:asciiTheme="majorHAnsi" w:hAnsiTheme="majorHAnsi"/>
        </w:rPr>
        <w:t xml:space="preserve">fluorescein </w:t>
      </w:r>
      <w:r w:rsidR="00304C2D" w:rsidRPr="006C46AB">
        <w:rPr>
          <w:rFonts w:asciiTheme="majorHAnsi" w:hAnsiTheme="majorHAnsi"/>
        </w:rPr>
        <w:t xml:space="preserve">leak due to </w:t>
      </w:r>
      <w:r w:rsidR="00C6145A" w:rsidRPr="006C46AB">
        <w:rPr>
          <w:rFonts w:asciiTheme="majorHAnsi" w:hAnsiTheme="majorHAnsi"/>
        </w:rPr>
        <w:t>epithelial breaches</w:t>
      </w:r>
      <w:r w:rsidR="00304C2D" w:rsidRPr="006C46AB">
        <w:rPr>
          <w:rFonts w:asciiTheme="majorHAnsi" w:hAnsiTheme="majorHAnsi"/>
        </w:rPr>
        <w:t xml:space="preserve"> was</w:t>
      </w:r>
      <w:r w:rsidR="004966CB" w:rsidRPr="006C46AB">
        <w:rPr>
          <w:rFonts w:asciiTheme="majorHAnsi" w:hAnsiTheme="majorHAnsi"/>
        </w:rPr>
        <w:t xml:space="preserve"> associated</w:t>
      </w:r>
      <w:r w:rsidR="00304C2D" w:rsidRPr="006C46AB">
        <w:rPr>
          <w:rFonts w:asciiTheme="majorHAnsi" w:hAnsiTheme="majorHAnsi"/>
        </w:rPr>
        <w:t xml:space="preserve"> </w:t>
      </w:r>
      <w:r w:rsidR="004731FC" w:rsidRPr="006C46AB">
        <w:rPr>
          <w:rFonts w:asciiTheme="majorHAnsi" w:hAnsiTheme="majorHAnsi"/>
        </w:rPr>
        <w:t xml:space="preserve">with high </w:t>
      </w:r>
      <w:r w:rsidR="008616BF" w:rsidRPr="006C46AB">
        <w:rPr>
          <w:rFonts w:asciiTheme="majorHAnsi" w:hAnsiTheme="majorHAnsi"/>
        </w:rPr>
        <w:t>plasma</w:t>
      </w:r>
      <w:r w:rsidR="002E6497" w:rsidRPr="006C46AB">
        <w:rPr>
          <w:rFonts w:asciiTheme="majorHAnsi" w:hAnsiTheme="majorHAnsi"/>
        </w:rPr>
        <w:t xml:space="preserve"> lipopolysaccharide</w:t>
      </w:r>
      <w:r w:rsidR="008616BF" w:rsidRPr="006C46AB">
        <w:rPr>
          <w:rFonts w:asciiTheme="majorHAnsi" w:hAnsiTheme="majorHAnsi"/>
        </w:rPr>
        <w:t>, a component of Gram negative cell walls.</w:t>
      </w:r>
      <w:r w:rsidR="002E6497" w:rsidRPr="006C46AB">
        <w:rPr>
          <w:rFonts w:asciiTheme="majorHAnsi" w:hAnsiTheme="majorHAnsi"/>
        </w:rPr>
        <w:t xml:space="preserve"> </w:t>
      </w:r>
      <w:r w:rsidR="009B425E" w:rsidRPr="006C46AB">
        <w:rPr>
          <w:rFonts w:asciiTheme="majorHAnsi" w:hAnsiTheme="majorHAnsi"/>
        </w:rPr>
        <w:t xml:space="preserve">This study was restricted to adults, and it suggests that many Zambian adults are living with a </w:t>
      </w:r>
      <w:r w:rsidR="00D31F44" w:rsidRPr="006C46AB">
        <w:rPr>
          <w:rFonts w:asciiTheme="majorHAnsi" w:hAnsiTheme="majorHAnsi"/>
        </w:rPr>
        <w:t xml:space="preserve">constant </w:t>
      </w:r>
      <w:r w:rsidR="009B425E" w:rsidRPr="006C46AB">
        <w:rPr>
          <w:rFonts w:asciiTheme="majorHAnsi" w:hAnsiTheme="majorHAnsi"/>
        </w:rPr>
        <w:t>source of chronic inflammation</w:t>
      </w:r>
      <w:r w:rsidR="004C474B" w:rsidRPr="006C46AB">
        <w:rPr>
          <w:rFonts w:asciiTheme="majorHAnsi" w:hAnsiTheme="majorHAnsi"/>
        </w:rPr>
        <w:t xml:space="preserve">. We think it likely, though it is not proved, that this has adverse consequences for health in the long term. A parallel study in children </w:t>
      </w:r>
      <w:r w:rsidR="00D31F44" w:rsidRPr="006C46AB">
        <w:rPr>
          <w:rFonts w:asciiTheme="majorHAnsi" w:hAnsiTheme="majorHAnsi"/>
        </w:rPr>
        <w:t>is under way</w:t>
      </w:r>
      <w:r w:rsidR="004C474B" w:rsidRPr="006C46AB">
        <w:rPr>
          <w:rFonts w:asciiTheme="majorHAnsi" w:hAnsiTheme="majorHAnsi"/>
        </w:rPr>
        <w:t>.</w:t>
      </w:r>
    </w:p>
    <w:p w14:paraId="5662BDD0" w14:textId="32C48DE6" w:rsidR="008616BF" w:rsidRPr="006C46AB" w:rsidRDefault="008616BF" w:rsidP="0025423E">
      <w:pPr>
        <w:widowControl w:val="0"/>
        <w:spacing w:line="360" w:lineRule="auto"/>
        <w:rPr>
          <w:rFonts w:asciiTheme="majorHAnsi" w:hAnsiTheme="majorHAnsi"/>
        </w:rPr>
      </w:pPr>
    </w:p>
    <w:p w14:paraId="0EE67203" w14:textId="2872A7D3" w:rsidR="002E6497" w:rsidRPr="006C46AB" w:rsidRDefault="00304508" w:rsidP="0025423E">
      <w:pPr>
        <w:widowControl w:val="0"/>
        <w:spacing w:line="360" w:lineRule="auto"/>
        <w:rPr>
          <w:rFonts w:asciiTheme="majorHAnsi" w:hAnsiTheme="majorHAnsi"/>
        </w:rPr>
      </w:pPr>
      <w:r w:rsidRPr="006C46AB">
        <w:rPr>
          <w:rFonts w:asciiTheme="majorHAnsi" w:hAnsiTheme="majorHAnsi"/>
        </w:rPr>
        <w:t>There are obvious l</w:t>
      </w:r>
      <w:r w:rsidR="008616BF" w:rsidRPr="006C46AB">
        <w:rPr>
          <w:rFonts w:asciiTheme="majorHAnsi" w:hAnsiTheme="majorHAnsi"/>
        </w:rPr>
        <w:t>imitations</w:t>
      </w:r>
      <w:r w:rsidRPr="006C46AB">
        <w:rPr>
          <w:rFonts w:asciiTheme="majorHAnsi" w:hAnsiTheme="majorHAnsi"/>
        </w:rPr>
        <w:t xml:space="preserve"> to this study</w:t>
      </w:r>
      <w:r w:rsidR="007A4217" w:rsidRPr="006C46AB">
        <w:rPr>
          <w:rFonts w:asciiTheme="majorHAnsi" w:hAnsiTheme="majorHAnsi"/>
        </w:rPr>
        <w:t>, notably that it is purely cross-sectional and the sample size is limited by the intensive and time-consuming nature of the procedures undertaken</w:t>
      </w:r>
      <w:r w:rsidR="00A02301" w:rsidRPr="006C46AB">
        <w:rPr>
          <w:rFonts w:asciiTheme="majorHAnsi" w:hAnsiTheme="majorHAnsi"/>
        </w:rPr>
        <w:t xml:space="preserve"> in an African setting where environmental enteropathy is the norm</w:t>
      </w:r>
      <w:r w:rsidR="007A4217" w:rsidRPr="006C46AB">
        <w:rPr>
          <w:rFonts w:asciiTheme="majorHAnsi" w:hAnsiTheme="majorHAnsi"/>
        </w:rPr>
        <w:t>.</w:t>
      </w:r>
      <w:r w:rsidR="008616BF" w:rsidRPr="006C46AB">
        <w:rPr>
          <w:rFonts w:asciiTheme="majorHAnsi" w:hAnsiTheme="majorHAnsi"/>
        </w:rPr>
        <w:t xml:space="preserve"> </w:t>
      </w:r>
      <w:r w:rsidR="007A4217" w:rsidRPr="006C46AB">
        <w:rPr>
          <w:rFonts w:asciiTheme="majorHAnsi" w:hAnsiTheme="majorHAnsi"/>
        </w:rPr>
        <w:t xml:space="preserve">Furthermore, the measurement of </w:t>
      </w:r>
      <w:proofErr w:type="spellStart"/>
      <w:r w:rsidR="007A4217" w:rsidRPr="006C46AB">
        <w:rPr>
          <w:rFonts w:asciiTheme="majorHAnsi" w:hAnsiTheme="majorHAnsi"/>
        </w:rPr>
        <w:t>translocated</w:t>
      </w:r>
      <w:proofErr w:type="spellEnd"/>
      <w:r w:rsidR="007A4217" w:rsidRPr="006C46AB">
        <w:rPr>
          <w:rFonts w:asciiTheme="majorHAnsi" w:hAnsiTheme="majorHAnsi"/>
        </w:rPr>
        <w:t xml:space="preserve"> bacterial components is </w:t>
      </w:r>
      <w:r w:rsidR="000141CF" w:rsidRPr="006C46AB">
        <w:rPr>
          <w:rFonts w:asciiTheme="majorHAnsi" w:hAnsiTheme="majorHAnsi"/>
        </w:rPr>
        <w:t>largely dependent on one assay, LPS. However, c</w:t>
      </w:r>
      <w:r w:rsidR="002E6497" w:rsidRPr="006C46AB">
        <w:rPr>
          <w:rFonts w:asciiTheme="majorHAnsi" w:hAnsiTheme="majorHAnsi"/>
        </w:rPr>
        <w:t xml:space="preserve">onfocal </w:t>
      </w:r>
      <w:r w:rsidR="000141CF" w:rsidRPr="006C46AB">
        <w:rPr>
          <w:rFonts w:asciiTheme="majorHAnsi" w:hAnsiTheme="majorHAnsi"/>
        </w:rPr>
        <w:t xml:space="preserve">laser </w:t>
      </w:r>
      <w:r w:rsidR="002E6497" w:rsidRPr="006C46AB">
        <w:rPr>
          <w:rFonts w:asciiTheme="majorHAnsi" w:hAnsiTheme="majorHAnsi"/>
        </w:rPr>
        <w:t xml:space="preserve">endomicroscopy has made possible an understanding of the severity of epithelial disruption, as the large </w:t>
      </w:r>
      <w:r w:rsidR="004966CB" w:rsidRPr="006C46AB">
        <w:rPr>
          <w:rFonts w:asciiTheme="majorHAnsi" w:hAnsiTheme="majorHAnsi"/>
        </w:rPr>
        <w:t xml:space="preserve">image </w:t>
      </w:r>
      <w:r w:rsidR="002E6497" w:rsidRPr="006C46AB">
        <w:rPr>
          <w:rFonts w:asciiTheme="majorHAnsi" w:hAnsiTheme="majorHAnsi"/>
        </w:rPr>
        <w:t xml:space="preserve">sample size (between 35 and 225 images per procedure) and the fact that the epithelium is imaged </w:t>
      </w:r>
      <w:r w:rsidR="002E6497" w:rsidRPr="006C46AB">
        <w:rPr>
          <w:rFonts w:asciiTheme="majorHAnsi" w:hAnsiTheme="majorHAnsi"/>
          <w:i/>
        </w:rPr>
        <w:t>in vivo</w:t>
      </w:r>
      <w:r w:rsidR="002E6497" w:rsidRPr="006C46AB">
        <w:rPr>
          <w:rFonts w:asciiTheme="majorHAnsi" w:hAnsiTheme="majorHAnsi"/>
        </w:rPr>
        <w:t xml:space="preserve"> give considerable confidence to our assessment that many of the defects seen in histological images are not </w:t>
      </w:r>
      <w:proofErr w:type="spellStart"/>
      <w:r w:rsidR="002E6497" w:rsidRPr="006C46AB">
        <w:rPr>
          <w:rFonts w:asciiTheme="majorHAnsi" w:hAnsiTheme="majorHAnsi"/>
        </w:rPr>
        <w:t>artefactual</w:t>
      </w:r>
      <w:proofErr w:type="spellEnd"/>
      <w:r w:rsidR="002E6497" w:rsidRPr="006C46AB">
        <w:rPr>
          <w:rFonts w:asciiTheme="majorHAnsi" w:hAnsiTheme="majorHAnsi"/>
        </w:rPr>
        <w:t xml:space="preserve">. </w:t>
      </w:r>
      <w:r w:rsidR="000141CF" w:rsidRPr="006C46AB">
        <w:rPr>
          <w:rFonts w:asciiTheme="majorHAnsi" w:hAnsiTheme="majorHAnsi"/>
        </w:rPr>
        <w:t xml:space="preserve">The claudin 4 </w:t>
      </w:r>
      <w:r w:rsidR="00774472" w:rsidRPr="006C46AB">
        <w:rPr>
          <w:rFonts w:asciiTheme="majorHAnsi" w:hAnsiTheme="majorHAnsi"/>
        </w:rPr>
        <w:t>funnels</w:t>
      </w:r>
      <w:r w:rsidR="000141CF" w:rsidRPr="006C46AB">
        <w:rPr>
          <w:rFonts w:asciiTheme="majorHAnsi" w:hAnsiTheme="majorHAnsi"/>
        </w:rPr>
        <w:t xml:space="preserve"> at the villus tip </w:t>
      </w:r>
      <w:r w:rsidR="00774472" w:rsidRPr="006C46AB">
        <w:rPr>
          <w:rFonts w:asciiTheme="majorHAnsi" w:hAnsiTheme="majorHAnsi"/>
        </w:rPr>
        <w:t>are an important proxy for cell shedding as we have previously shown that tight junction proteins redistribute around epithelial cells during shedding</w:t>
      </w:r>
      <w:r w:rsidR="005236EE" w:rsidRPr="006C46AB">
        <w:rPr>
          <w:rFonts w:asciiTheme="majorHAnsi" w:hAnsiTheme="majorHAnsi"/>
          <w:vertAlign w:val="superscript"/>
        </w:rPr>
        <w:t>3</w:t>
      </w:r>
      <w:r w:rsidR="006F1C78" w:rsidRPr="006C46AB">
        <w:rPr>
          <w:rFonts w:asciiTheme="majorHAnsi" w:hAnsiTheme="majorHAnsi"/>
          <w:vertAlign w:val="superscript"/>
        </w:rPr>
        <w:t>2,3</w:t>
      </w:r>
      <w:r w:rsidR="005236EE" w:rsidRPr="006C46AB">
        <w:rPr>
          <w:rFonts w:asciiTheme="majorHAnsi" w:hAnsiTheme="majorHAnsi"/>
          <w:vertAlign w:val="superscript"/>
        </w:rPr>
        <w:t>3</w:t>
      </w:r>
      <w:r w:rsidR="000141CF" w:rsidRPr="006C46AB">
        <w:rPr>
          <w:rFonts w:asciiTheme="majorHAnsi" w:hAnsiTheme="majorHAnsi"/>
        </w:rPr>
        <w:t>.</w:t>
      </w:r>
      <w:r w:rsidR="00746C06" w:rsidRPr="006C46AB">
        <w:rPr>
          <w:rFonts w:asciiTheme="majorHAnsi" w:hAnsiTheme="majorHAnsi"/>
        </w:rPr>
        <w:t xml:space="preserve"> The increased funnel formation shows that the epithelial damage is a direct consequence of increased shedding. It is already known the LPS and TNF are potent stimuli for cell shedding</w:t>
      </w:r>
      <w:r w:rsidR="006F1C78" w:rsidRPr="006C46AB">
        <w:rPr>
          <w:rFonts w:asciiTheme="majorHAnsi" w:hAnsiTheme="majorHAnsi"/>
          <w:vertAlign w:val="superscript"/>
        </w:rPr>
        <w:t>23,35</w:t>
      </w:r>
      <w:r w:rsidR="004966CB" w:rsidRPr="006C46AB">
        <w:rPr>
          <w:rFonts w:asciiTheme="majorHAnsi" w:hAnsiTheme="majorHAnsi"/>
        </w:rPr>
        <w:t>, although in EE</w:t>
      </w:r>
      <w:r w:rsidR="00746C06" w:rsidRPr="006C46AB">
        <w:rPr>
          <w:rFonts w:asciiTheme="majorHAnsi" w:hAnsiTheme="majorHAnsi"/>
        </w:rPr>
        <w:t xml:space="preserve"> </w:t>
      </w:r>
      <w:r w:rsidR="004966CB" w:rsidRPr="006C46AB">
        <w:rPr>
          <w:rFonts w:asciiTheme="majorHAnsi" w:hAnsiTheme="majorHAnsi"/>
        </w:rPr>
        <w:t xml:space="preserve">it is unclear whether this is due to increased apoptosis (which occurs physiologically at the villus tip), necroptosis, or necrosis. </w:t>
      </w:r>
      <w:r w:rsidR="00746C06" w:rsidRPr="006C46AB">
        <w:rPr>
          <w:rFonts w:asciiTheme="majorHAnsi" w:hAnsiTheme="majorHAnsi"/>
        </w:rPr>
        <w:t xml:space="preserve">It is therefore plausible that initial minor </w:t>
      </w:r>
      <w:r w:rsidR="00B20FD7" w:rsidRPr="006C46AB">
        <w:rPr>
          <w:rFonts w:asciiTheme="majorHAnsi" w:hAnsiTheme="majorHAnsi"/>
        </w:rPr>
        <w:t>defects in the barrier lead</w:t>
      </w:r>
      <w:r w:rsidR="00746C06" w:rsidRPr="006C46AB">
        <w:rPr>
          <w:rFonts w:asciiTheme="majorHAnsi" w:hAnsiTheme="majorHAnsi"/>
        </w:rPr>
        <w:t xml:space="preserve"> to the ingress of bacteria increasing tissue concentrations of TNF</w:t>
      </w:r>
      <w:r w:rsidR="00C0785E" w:rsidRPr="006C46AB">
        <w:rPr>
          <w:rFonts w:asciiTheme="majorHAnsi" w:hAnsiTheme="majorHAnsi"/>
        </w:rPr>
        <w:t>, i</w:t>
      </w:r>
      <w:r w:rsidR="00746C06" w:rsidRPr="006C46AB">
        <w:rPr>
          <w:rFonts w:asciiTheme="majorHAnsi" w:hAnsiTheme="majorHAnsi"/>
        </w:rPr>
        <w:t xml:space="preserve">ncreasing </w:t>
      </w:r>
      <w:r w:rsidR="006253DB" w:rsidRPr="006C46AB">
        <w:rPr>
          <w:rFonts w:asciiTheme="majorHAnsi" w:hAnsiTheme="majorHAnsi"/>
        </w:rPr>
        <w:t>pathology</w:t>
      </w:r>
      <w:r w:rsidR="00746C06" w:rsidRPr="006C46AB">
        <w:rPr>
          <w:rFonts w:asciiTheme="majorHAnsi" w:hAnsiTheme="majorHAnsi"/>
        </w:rPr>
        <w:t xml:space="preserve"> in a positive feedback loop.</w:t>
      </w:r>
    </w:p>
    <w:p w14:paraId="08EBE982" w14:textId="77777777" w:rsidR="002E6497" w:rsidRPr="006C46AB" w:rsidRDefault="002E6497" w:rsidP="0025423E">
      <w:pPr>
        <w:widowControl w:val="0"/>
        <w:spacing w:line="360" w:lineRule="auto"/>
        <w:rPr>
          <w:rFonts w:asciiTheme="majorHAnsi" w:hAnsiTheme="majorHAnsi"/>
        </w:rPr>
      </w:pPr>
    </w:p>
    <w:p w14:paraId="2C0B623C" w14:textId="60A887C6" w:rsidR="007C31BD" w:rsidRPr="006C46AB" w:rsidRDefault="00907A5C" w:rsidP="0025423E">
      <w:pPr>
        <w:widowControl w:val="0"/>
        <w:spacing w:line="360" w:lineRule="auto"/>
        <w:rPr>
          <w:rFonts w:asciiTheme="majorHAnsi" w:hAnsiTheme="majorHAnsi"/>
        </w:rPr>
      </w:pPr>
      <w:r w:rsidRPr="006C46AB">
        <w:rPr>
          <w:rFonts w:asciiTheme="majorHAnsi" w:hAnsiTheme="majorHAnsi"/>
        </w:rPr>
        <w:t>We found evidence of a U-</w:t>
      </w:r>
      <w:r w:rsidR="00F22D45" w:rsidRPr="006C46AB">
        <w:rPr>
          <w:rFonts w:asciiTheme="majorHAnsi" w:hAnsiTheme="majorHAnsi"/>
        </w:rPr>
        <w:t>shaped relationship between translocation and villus surface area</w:t>
      </w:r>
      <w:r w:rsidR="00C0785E" w:rsidRPr="006C46AB">
        <w:rPr>
          <w:rFonts w:asciiTheme="majorHAnsi" w:hAnsiTheme="majorHAnsi"/>
        </w:rPr>
        <w:t xml:space="preserve"> (Figure 4D)</w:t>
      </w:r>
      <w:r w:rsidR="00F22D45" w:rsidRPr="006C46AB">
        <w:rPr>
          <w:rFonts w:asciiTheme="majorHAnsi" w:hAnsiTheme="majorHAnsi"/>
        </w:rPr>
        <w:t xml:space="preserve">. This observation suggests that the reduced villus surface area in </w:t>
      </w:r>
      <w:proofErr w:type="spellStart"/>
      <w:r w:rsidR="00F22D45" w:rsidRPr="006C46AB">
        <w:rPr>
          <w:rFonts w:asciiTheme="majorHAnsi" w:hAnsiTheme="majorHAnsi"/>
        </w:rPr>
        <w:t>enteropathic</w:t>
      </w:r>
      <w:proofErr w:type="spellEnd"/>
      <w:r w:rsidR="00F22D45" w:rsidRPr="006C46AB">
        <w:rPr>
          <w:rFonts w:asciiTheme="majorHAnsi" w:hAnsiTheme="majorHAnsi"/>
        </w:rPr>
        <w:t xml:space="preserve"> disorders may act at least in part to mitigate the translocation burden in the presence (as in this population) of ubiquitous epithelial </w:t>
      </w:r>
      <w:r w:rsidR="00B20FD7" w:rsidRPr="006C46AB">
        <w:rPr>
          <w:rFonts w:asciiTheme="majorHAnsi" w:hAnsiTheme="majorHAnsi"/>
        </w:rPr>
        <w:t>defect</w:t>
      </w:r>
      <w:r w:rsidR="00F22D45" w:rsidRPr="006C46AB">
        <w:rPr>
          <w:rFonts w:asciiTheme="majorHAnsi" w:hAnsiTheme="majorHAnsi"/>
        </w:rPr>
        <w:t xml:space="preserve">s. Thus, a reduced epithelial surface area may confer a survival advantage in the presence of heavy exposure to environmental </w:t>
      </w:r>
      <w:proofErr w:type="spellStart"/>
      <w:r w:rsidR="00F22D45" w:rsidRPr="006C46AB">
        <w:rPr>
          <w:rFonts w:asciiTheme="majorHAnsi" w:hAnsiTheme="majorHAnsi"/>
        </w:rPr>
        <w:t>noxa</w:t>
      </w:r>
      <w:proofErr w:type="spellEnd"/>
      <w:r w:rsidR="00F22D45" w:rsidRPr="006C46AB">
        <w:rPr>
          <w:rFonts w:asciiTheme="majorHAnsi" w:hAnsiTheme="majorHAnsi"/>
        </w:rPr>
        <w:t>.</w:t>
      </w:r>
      <w:r w:rsidR="00247285" w:rsidRPr="006C46AB">
        <w:rPr>
          <w:rFonts w:asciiTheme="majorHAnsi" w:hAnsiTheme="majorHAnsi"/>
        </w:rPr>
        <w:t xml:space="preserve"> The selection pressure could be high, as the circulating concentrations of LPS in our healthy volunteers was two orders of magnitude higher than in Italian children with fatty liver disease</w:t>
      </w:r>
      <w:r w:rsidR="00247285" w:rsidRPr="006C46AB">
        <w:rPr>
          <w:rFonts w:asciiTheme="majorHAnsi" w:hAnsiTheme="majorHAnsi"/>
          <w:vertAlign w:val="superscript"/>
        </w:rPr>
        <w:t>1</w:t>
      </w:r>
      <w:r w:rsidR="00C1429D" w:rsidRPr="006C46AB">
        <w:rPr>
          <w:rFonts w:asciiTheme="majorHAnsi" w:hAnsiTheme="majorHAnsi"/>
          <w:vertAlign w:val="superscript"/>
        </w:rPr>
        <w:t>5</w:t>
      </w:r>
      <w:r w:rsidR="00247285" w:rsidRPr="006C46AB">
        <w:rPr>
          <w:rFonts w:asciiTheme="majorHAnsi" w:hAnsiTheme="majorHAnsi"/>
        </w:rPr>
        <w:t>.</w:t>
      </w:r>
      <w:r w:rsidR="00C75D08" w:rsidRPr="006C46AB">
        <w:rPr>
          <w:rFonts w:asciiTheme="majorHAnsi" w:hAnsiTheme="majorHAnsi"/>
        </w:rPr>
        <w:t xml:space="preserve"> </w:t>
      </w:r>
      <w:r w:rsidR="00B20256" w:rsidRPr="006C46AB">
        <w:rPr>
          <w:rFonts w:asciiTheme="majorHAnsi" w:hAnsiTheme="majorHAnsi"/>
        </w:rPr>
        <w:t>This finding needs to be confirmed in future work.</w:t>
      </w:r>
    </w:p>
    <w:p w14:paraId="402336B2" w14:textId="77777777" w:rsidR="007C31BD" w:rsidRPr="006C46AB" w:rsidRDefault="007C31BD" w:rsidP="0025423E">
      <w:pPr>
        <w:widowControl w:val="0"/>
        <w:spacing w:line="360" w:lineRule="auto"/>
        <w:rPr>
          <w:rFonts w:asciiTheme="majorHAnsi" w:hAnsiTheme="majorHAnsi"/>
        </w:rPr>
      </w:pPr>
    </w:p>
    <w:p w14:paraId="549183D2" w14:textId="73964741" w:rsidR="00650B78" w:rsidRPr="006C46AB" w:rsidRDefault="00650B78" w:rsidP="0025423E">
      <w:pPr>
        <w:widowControl w:val="0"/>
        <w:spacing w:line="360" w:lineRule="auto"/>
        <w:rPr>
          <w:rFonts w:asciiTheme="majorHAnsi" w:hAnsiTheme="majorHAnsi"/>
        </w:rPr>
      </w:pPr>
      <w:r w:rsidRPr="006C46AB">
        <w:rPr>
          <w:rFonts w:asciiTheme="majorHAnsi" w:hAnsiTheme="majorHAnsi"/>
        </w:rPr>
        <w:t>HIV does not seem to add to the epithelial damage of EE in a population such as this where both frequently co-exist</w:t>
      </w:r>
      <w:r w:rsidR="004C474B" w:rsidRPr="006C46AB">
        <w:rPr>
          <w:rFonts w:asciiTheme="majorHAnsi" w:hAnsiTheme="majorHAnsi"/>
        </w:rPr>
        <w:t>, with the exception of villus surface area</w:t>
      </w:r>
      <w:r w:rsidRPr="006C46AB">
        <w:rPr>
          <w:rFonts w:asciiTheme="majorHAnsi" w:hAnsiTheme="majorHAnsi"/>
        </w:rPr>
        <w:t>. This is in contrast to work in the USA and elsewhere which suggests that HIV may predispose to bacterial translocation</w:t>
      </w:r>
      <w:r w:rsidR="00BC7949" w:rsidRPr="006C46AB">
        <w:rPr>
          <w:rFonts w:asciiTheme="majorHAnsi" w:hAnsiTheme="majorHAnsi"/>
          <w:vertAlign w:val="superscript"/>
        </w:rPr>
        <w:t>10</w:t>
      </w:r>
      <w:r w:rsidR="000168D4" w:rsidRPr="006C46AB">
        <w:rPr>
          <w:rFonts w:asciiTheme="majorHAnsi" w:hAnsiTheme="majorHAnsi"/>
          <w:vertAlign w:val="superscript"/>
        </w:rPr>
        <w:t>,3</w:t>
      </w:r>
      <w:r w:rsidR="005236EE" w:rsidRPr="006C46AB">
        <w:rPr>
          <w:rFonts w:asciiTheme="majorHAnsi" w:hAnsiTheme="majorHAnsi"/>
          <w:vertAlign w:val="superscript"/>
        </w:rPr>
        <w:t>6</w:t>
      </w:r>
      <w:r w:rsidRPr="006C46AB">
        <w:rPr>
          <w:rFonts w:asciiTheme="majorHAnsi" w:hAnsiTheme="majorHAnsi"/>
        </w:rPr>
        <w:t>. In a previous study of</w:t>
      </w:r>
      <w:r w:rsidR="000168D4" w:rsidRPr="006C46AB">
        <w:rPr>
          <w:rFonts w:asciiTheme="majorHAnsi" w:hAnsiTheme="majorHAnsi"/>
        </w:rPr>
        <w:t xml:space="preserve"> </w:t>
      </w:r>
      <w:proofErr w:type="spellStart"/>
      <w:r w:rsidR="000168D4" w:rsidRPr="006C46AB">
        <w:rPr>
          <w:rFonts w:asciiTheme="majorHAnsi" w:hAnsiTheme="majorHAnsi"/>
        </w:rPr>
        <w:t>morphometry</w:t>
      </w:r>
      <w:proofErr w:type="spellEnd"/>
      <w:r w:rsidR="000168D4" w:rsidRPr="006C46AB">
        <w:rPr>
          <w:rFonts w:asciiTheme="majorHAnsi" w:hAnsiTheme="majorHAnsi"/>
        </w:rPr>
        <w:t xml:space="preserve"> over time</w:t>
      </w:r>
      <w:r w:rsidR="005236EE" w:rsidRPr="006C46AB">
        <w:rPr>
          <w:rFonts w:asciiTheme="majorHAnsi" w:hAnsiTheme="majorHAnsi"/>
          <w:vertAlign w:val="superscript"/>
        </w:rPr>
        <w:t>2</w:t>
      </w:r>
      <w:r w:rsidR="00C1429D" w:rsidRPr="006C46AB">
        <w:rPr>
          <w:rFonts w:asciiTheme="majorHAnsi" w:hAnsiTheme="majorHAnsi"/>
          <w:vertAlign w:val="superscript"/>
        </w:rPr>
        <w:t>0</w:t>
      </w:r>
      <w:r w:rsidRPr="006C46AB">
        <w:rPr>
          <w:rFonts w:asciiTheme="majorHAnsi" w:hAnsiTheme="majorHAnsi"/>
        </w:rPr>
        <w:t xml:space="preserve"> we found that HIV had little effect on mucosal architecture over and above EE, except for an increase in crypt depth </w:t>
      </w:r>
      <w:r w:rsidR="002E1E3F" w:rsidRPr="006C46AB">
        <w:rPr>
          <w:rFonts w:asciiTheme="majorHAnsi" w:hAnsiTheme="majorHAnsi"/>
        </w:rPr>
        <w:t>at all stages of infection and an increase in lactulose permeation only in late stage HIV (CD4 cells &lt; 200 cells/</w:t>
      </w:r>
      <w:r w:rsidR="002E1E3F" w:rsidRPr="006C46AB">
        <w:rPr>
          <w:rFonts w:ascii="Symbol" w:hAnsi="Symbol"/>
        </w:rPr>
        <w:t></w:t>
      </w:r>
      <w:r w:rsidR="00F3695B" w:rsidRPr="006C46AB">
        <w:rPr>
          <w:rFonts w:asciiTheme="majorHAnsi" w:hAnsiTheme="majorHAnsi"/>
        </w:rPr>
        <w:t>l</w:t>
      </w:r>
      <w:r w:rsidR="002E1E3F" w:rsidRPr="006C46AB">
        <w:rPr>
          <w:rFonts w:asciiTheme="majorHAnsi" w:hAnsiTheme="majorHAnsi"/>
        </w:rPr>
        <w:t>). In this study we also found reduced epithelial surface area in HIV, but no change in translocation. However, there was a striking increase in CRP in HIV infected participants which cannot be explained by bacterial translocation and was not accompanied by changes in other monocyte-derived molecules such as sCD14 or CD163. Our data do not completely fit with a simple model in which HIV drives bacterial translocation leading to systemic immune activation</w:t>
      </w:r>
      <w:r w:rsidR="004C474B" w:rsidRPr="006C46AB">
        <w:rPr>
          <w:rFonts w:asciiTheme="majorHAnsi" w:hAnsiTheme="majorHAnsi"/>
          <w:vertAlign w:val="superscript"/>
        </w:rPr>
        <w:t>10</w:t>
      </w:r>
      <w:r w:rsidR="004C474B" w:rsidRPr="006C46AB">
        <w:rPr>
          <w:rFonts w:asciiTheme="majorHAnsi" w:hAnsiTheme="majorHAnsi"/>
        </w:rPr>
        <w:t>, and other processes undoubtedly contribute more in Africa than in temperate climates</w:t>
      </w:r>
      <w:r w:rsidR="002E1E3F" w:rsidRPr="006C46AB">
        <w:rPr>
          <w:rFonts w:asciiTheme="majorHAnsi" w:hAnsiTheme="majorHAnsi"/>
        </w:rPr>
        <w:t xml:space="preserve">. Furthermore, the majority of studies conducted using </w:t>
      </w:r>
      <w:proofErr w:type="spellStart"/>
      <w:r w:rsidR="002E1E3F" w:rsidRPr="006C46AB">
        <w:rPr>
          <w:rFonts w:asciiTheme="majorHAnsi" w:hAnsiTheme="majorHAnsi"/>
        </w:rPr>
        <w:t>morphometry</w:t>
      </w:r>
      <w:proofErr w:type="spellEnd"/>
      <w:r w:rsidR="002E1E3F" w:rsidRPr="006C46AB">
        <w:rPr>
          <w:rFonts w:asciiTheme="majorHAnsi" w:hAnsiTheme="majorHAnsi"/>
        </w:rPr>
        <w:t xml:space="preserve"> or lactulose permeation indicate that increased leakiness of the small intestine is a hallmark of advanced HIV disease</w:t>
      </w:r>
      <w:r w:rsidR="0040412E" w:rsidRPr="006C46AB">
        <w:rPr>
          <w:rFonts w:asciiTheme="majorHAnsi" w:hAnsiTheme="majorHAnsi"/>
          <w:vertAlign w:val="superscript"/>
        </w:rPr>
        <w:t>3</w:t>
      </w:r>
      <w:r w:rsidR="00A63543" w:rsidRPr="006C46AB">
        <w:rPr>
          <w:rFonts w:asciiTheme="majorHAnsi" w:hAnsiTheme="majorHAnsi"/>
        </w:rPr>
        <w:t xml:space="preserve">, </w:t>
      </w:r>
      <w:r w:rsidR="00C416E5" w:rsidRPr="006C46AB">
        <w:rPr>
          <w:rFonts w:asciiTheme="majorHAnsi" w:hAnsiTheme="majorHAnsi"/>
        </w:rPr>
        <w:t>whereas our participants had early or well-controlled disease</w:t>
      </w:r>
      <w:r w:rsidR="002E1E3F" w:rsidRPr="006C46AB">
        <w:rPr>
          <w:rFonts w:asciiTheme="majorHAnsi" w:hAnsiTheme="majorHAnsi"/>
        </w:rPr>
        <w:t xml:space="preserve">. At least in a population </w:t>
      </w:r>
      <w:r w:rsidR="00D31F44" w:rsidRPr="006C46AB">
        <w:rPr>
          <w:rFonts w:asciiTheme="majorHAnsi" w:hAnsiTheme="majorHAnsi"/>
        </w:rPr>
        <w:t>with a good HIV treatment programme</w:t>
      </w:r>
      <w:r w:rsidR="002E1E3F" w:rsidRPr="006C46AB">
        <w:rPr>
          <w:rFonts w:asciiTheme="majorHAnsi" w:hAnsiTheme="majorHAnsi"/>
        </w:rPr>
        <w:t xml:space="preserve">, </w:t>
      </w:r>
      <w:r w:rsidR="00587805" w:rsidRPr="006C46AB">
        <w:rPr>
          <w:rFonts w:asciiTheme="majorHAnsi" w:hAnsiTheme="majorHAnsi"/>
        </w:rPr>
        <w:t xml:space="preserve">the presence of EE is the primary driver of translocation and inflammation, and </w:t>
      </w:r>
      <w:r w:rsidR="002E1E3F" w:rsidRPr="006C46AB">
        <w:rPr>
          <w:rFonts w:asciiTheme="majorHAnsi" w:hAnsiTheme="majorHAnsi"/>
        </w:rPr>
        <w:t>HIV has only a modest additional impact.</w:t>
      </w:r>
      <w:r w:rsidR="00587805" w:rsidRPr="006C46AB">
        <w:rPr>
          <w:rFonts w:asciiTheme="majorHAnsi" w:hAnsiTheme="majorHAnsi"/>
        </w:rPr>
        <w:t xml:space="preserve"> </w:t>
      </w:r>
    </w:p>
    <w:p w14:paraId="491D5956" w14:textId="77777777" w:rsidR="007C31BD" w:rsidRPr="006C46AB" w:rsidRDefault="007C31BD" w:rsidP="0025423E">
      <w:pPr>
        <w:widowControl w:val="0"/>
        <w:spacing w:line="360" w:lineRule="auto"/>
        <w:rPr>
          <w:rFonts w:asciiTheme="majorHAnsi" w:hAnsiTheme="majorHAnsi"/>
        </w:rPr>
      </w:pPr>
    </w:p>
    <w:p w14:paraId="5811124B" w14:textId="645224AC" w:rsidR="000A038A" w:rsidRPr="006C46AB" w:rsidRDefault="00304C2D" w:rsidP="0025423E">
      <w:pPr>
        <w:widowControl w:val="0"/>
        <w:spacing w:line="360" w:lineRule="auto"/>
        <w:rPr>
          <w:rFonts w:asciiTheme="majorHAnsi" w:hAnsiTheme="majorHAnsi"/>
        </w:rPr>
      </w:pPr>
      <w:r w:rsidRPr="006C46AB">
        <w:rPr>
          <w:rFonts w:asciiTheme="majorHAnsi" w:hAnsiTheme="majorHAnsi"/>
        </w:rPr>
        <w:t>The zinc challenge test is a crude assessment of the net ability of the small intestine to take up</w:t>
      </w:r>
      <w:r w:rsidR="007C31BD" w:rsidRPr="006C46AB">
        <w:rPr>
          <w:rFonts w:asciiTheme="majorHAnsi" w:hAnsiTheme="majorHAnsi"/>
        </w:rPr>
        <w:t xml:space="preserve"> </w:t>
      </w:r>
      <w:r w:rsidRPr="006C46AB">
        <w:rPr>
          <w:rFonts w:asciiTheme="majorHAnsi" w:hAnsiTheme="majorHAnsi"/>
        </w:rPr>
        <w:t>zinc from a test dose, and cannot replace isotopic analysis of absorption and loss</w:t>
      </w:r>
      <w:r w:rsidR="0040412E" w:rsidRPr="006C46AB">
        <w:rPr>
          <w:rFonts w:asciiTheme="majorHAnsi" w:hAnsiTheme="majorHAnsi"/>
        </w:rPr>
        <w:t>es from endogenous zinc</w:t>
      </w:r>
      <w:r w:rsidR="0040412E" w:rsidRPr="006C46AB">
        <w:rPr>
          <w:rFonts w:asciiTheme="majorHAnsi" w:hAnsiTheme="majorHAnsi"/>
          <w:vertAlign w:val="superscript"/>
        </w:rPr>
        <w:t>3</w:t>
      </w:r>
      <w:r w:rsidR="005236EE" w:rsidRPr="006C46AB">
        <w:rPr>
          <w:rFonts w:asciiTheme="majorHAnsi" w:hAnsiTheme="majorHAnsi"/>
          <w:vertAlign w:val="superscript"/>
        </w:rPr>
        <w:t>7</w:t>
      </w:r>
      <w:r w:rsidRPr="006C46AB">
        <w:rPr>
          <w:rFonts w:asciiTheme="majorHAnsi" w:hAnsiTheme="majorHAnsi"/>
        </w:rPr>
        <w:t xml:space="preserve">. However, overall uptake of zinc from ingested zinc is important for human health, and </w:t>
      </w:r>
      <w:r w:rsidR="0076492B" w:rsidRPr="006C46AB">
        <w:rPr>
          <w:rFonts w:asciiTheme="majorHAnsi" w:hAnsiTheme="majorHAnsi"/>
        </w:rPr>
        <w:t xml:space="preserve">here we show that it is attenuated in a large proportion of people with EE. Baseline zinc in plasma was also low, which probably indicates subclinical zinc deficiency. </w:t>
      </w:r>
      <w:r w:rsidR="00220017" w:rsidRPr="006C46AB">
        <w:rPr>
          <w:rFonts w:asciiTheme="majorHAnsi" w:hAnsiTheme="majorHAnsi"/>
        </w:rPr>
        <w:t xml:space="preserve">We were unable to correlate zinc uptake to epithelial surface area measured </w:t>
      </w:r>
      <w:proofErr w:type="spellStart"/>
      <w:r w:rsidR="00220017" w:rsidRPr="006C46AB">
        <w:rPr>
          <w:rFonts w:asciiTheme="majorHAnsi" w:hAnsiTheme="majorHAnsi"/>
        </w:rPr>
        <w:t>morphometrically</w:t>
      </w:r>
      <w:proofErr w:type="spellEnd"/>
      <w:r w:rsidR="00220017" w:rsidRPr="006C46AB">
        <w:rPr>
          <w:rFonts w:asciiTheme="majorHAnsi" w:hAnsiTheme="majorHAnsi"/>
        </w:rPr>
        <w:t xml:space="preserve">, but </w:t>
      </w:r>
      <w:r w:rsidR="0076492B" w:rsidRPr="006C46AB">
        <w:rPr>
          <w:rFonts w:asciiTheme="majorHAnsi" w:hAnsiTheme="majorHAnsi"/>
        </w:rPr>
        <w:t xml:space="preserve">in our </w:t>
      </w:r>
      <w:proofErr w:type="spellStart"/>
      <w:r w:rsidR="0076492B" w:rsidRPr="006C46AB">
        <w:rPr>
          <w:rFonts w:asciiTheme="majorHAnsi" w:hAnsiTheme="majorHAnsi"/>
        </w:rPr>
        <w:t>transcriptomic</w:t>
      </w:r>
      <w:proofErr w:type="spellEnd"/>
      <w:r w:rsidR="0076492B" w:rsidRPr="006C46AB">
        <w:rPr>
          <w:rFonts w:asciiTheme="majorHAnsi" w:hAnsiTheme="majorHAnsi"/>
        </w:rPr>
        <w:t xml:space="preserve"> analysis we found that more severe enteropathy was associated with reduced expression of DMT-1 which </w:t>
      </w:r>
      <w:r w:rsidR="00702729" w:rsidRPr="006C46AB">
        <w:rPr>
          <w:rFonts w:asciiTheme="majorHAnsi" w:hAnsiTheme="majorHAnsi"/>
        </w:rPr>
        <w:t>may contribute</w:t>
      </w:r>
      <w:r w:rsidR="0076492B" w:rsidRPr="006C46AB">
        <w:rPr>
          <w:rFonts w:asciiTheme="majorHAnsi" w:hAnsiTheme="majorHAnsi"/>
        </w:rPr>
        <w:t xml:space="preserve"> to </w:t>
      </w:r>
      <w:r w:rsidR="00702729" w:rsidRPr="006C46AB">
        <w:rPr>
          <w:rFonts w:asciiTheme="majorHAnsi" w:hAnsiTheme="majorHAnsi"/>
        </w:rPr>
        <w:t>uptake of zinc</w:t>
      </w:r>
      <w:r w:rsidR="005236EE" w:rsidRPr="006C46AB">
        <w:rPr>
          <w:rFonts w:asciiTheme="majorHAnsi" w:hAnsiTheme="majorHAnsi"/>
          <w:vertAlign w:val="superscript"/>
        </w:rPr>
        <w:t>38</w:t>
      </w:r>
      <w:r w:rsidR="00702729" w:rsidRPr="006C46AB">
        <w:rPr>
          <w:rFonts w:asciiTheme="majorHAnsi" w:hAnsiTheme="majorHAnsi"/>
          <w:vertAlign w:val="superscript"/>
        </w:rPr>
        <w:t xml:space="preserve"> </w:t>
      </w:r>
      <w:r w:rsidR="00702729" w:rsidRPr="006C46AB">
        <w:rPr>
          <w:rFonts w:asciiTheme="majorHAnsi" w:hAnsiTheme="majorHAnsi"/>
        </w:rPr>
        <w:t>, especially supra-physiological doses</w:t>
      </w:r>
      <w:r w:rsidR="0076492B" w:rsidRPr="006C46AB">
        <w:rPr>
          <w:rFonts w:asciiTheme="majorHAnsi" w:hAnsiTheme="majorHAnsi"/>
        </w:rPr>
        <w:t xml:space="preserve">. </w:t>
      </w:r>
      <w:proofErr w:type="spellStart"/>
      <w:r w:rsidR="00D7137E" w:rsidRPr="006C46AB">
        <w:rPr>
          <w:rFonts w:asciiTheme="majorHAnsi" w:hAnsiTheme="majorHAnsi"/>
        </w:rPr>
        <w:t>Hypochlorhydria</w:t>
      </w:r>
      <w:proofErr w:type="spellEnd"/>
      <w:r w:rsidR="00D7137E" w:rsidRPr="006C46AB">
        <w:rPr>
          <w:rFonts w:asciiTheme="majorHAnsi" w:hAnsiTheme="majorHAnsi"/>
        </w:rPr>
        <w:t xml:space="preserve"> was common in our patients, </w:t>
      </w:r>
      <w:r w:rsidR="00D54F56" w:rsidRPr="006C46AB">
        <w:rPr>
          <w:rFonts w:asciiTheme="majorHAnsi" w:hAnsiTheme="majorHAnsi"/>
        </w:rPr>
        <w:t>as we have previously reported</w:t>
      </w:r>
      <w:r w:rsidR="006B76B5" w:rsidRPr="006C46AB">
        <w:rPr>
          <w:rFonts w:asciiTheme="majorHAnsi" w:hAnsiTheme="majorHAnsi"/>
          <w:vertAlign w:val="superscript"/>
        </w:rPr>
        <w:t>39</w:t>
      </w:r>
      <w:r w:rsidR="00D54F56" w:rsidRPr="006C46AB">
        <w:rPr>
          <w:rFonts w:asciiTheme="majorHAnsi" w:hAnsiTheme="majorHAnsi"/>
        </w:rPr>
        <w:t xml:space="preserve">, </w:t>
      </w:r>
      <w:r w:rsidR="00D7137E" w:rsidRPr="006C46AB">
        <w:rPr>
          <w:rFonts w:asciiTheme="majorHAnsi" w:hAnsiTheme="majorHAnsi"/>
        </w:rPr>
        <w:t>but is unlikely to be the explanation for impaired zinc uptake which does not depend on gastric acid</w:t>
      </w:r>
      <w:r w:rsidR="006B76B5" w:rsidRPr="006C46AB">
        <w:rPr>
          <w:rFonts w:asciiTheme="majorHAnsi" w:hAnsiTheme="majorHAnsi"/>
          <w:vertAlign w:val="superscript"/>
        </w:rPr>
        <w:t>40</w:t>
      </w:r>
      <w:r w:rsidR="00D54F56" w:rsidRPr="006C46AB">
        <w:rPr>
          <w:rFonts w:asciiTheme="majorHAnsi" w:hAnsiTheme="majorHAnsi"/>
        </w:rPr>
        <w:t xml:space="preserve">. </w:t>
      </w:r>
    </w:p>
    <w:p w14:paraId="68467058" w14:textId="77777777" w:rsidR="000A038A" w:rsidRPr="006C46AB" w:rsidRDefault="000A038A" w:rsidP="0025423E">
      <w:pPr>
        <w:widowControl w:val="0"/>
        <w:spacing w:line="360" w:lineRule="auto"/>
        <w:rPr>
          <w:rFonts w:asciiTheme="majorHAnsi" w:hAnsiTheme="majorHAnsi"/>
        </w:rPr>
      </w:pPr>
    </w:p>
    <w:p w14:paraId="6C1EE49E" w14:textId="26C86A2B" w:rsidR="002A59FB" w:rsidRPr="006C46AB" w:rsidRDefault="00046FDF" w:rsidP="0025423E">
      <w:pPr>
        <w:widowControl w:val="0"/>
        <w:spacing w:line="360" w:lineRule="auto"/>
        <w:rPr>
          <w:rFonts w:asciiTheme="majorHAnsi" w:hAnsiTheme="majorHAnsi"/>
        </w:rPr>
      </w:pPr>
      <w:r w:rsidRPr="006C46AB">
        <w:rPr>
          <w:rFonts w:asciiTheme="majorHAnsi" w:hAnsiTheme="majorHAnsi"/>
        </w:rPr>
        <w:t>GLP-2 is a major drive</w:t>
      </w:r>
      <w:r w:rsidR="00C10418" w:rsidRPr="006C46AB">
        <w:rPr>
          <w:rFonts w:asciiTheme="majorHAnsi" w:hAnsiTheme="majorHAnsi"/>
        </w:rPr>
        <w:t>r of intestinal adaptation</w:t>
      </w:r>
      <w:r w:rsidR="008D628B" w:rsidRPr="006C46AB">
        <w:rPr>
          <w:rFonts w:asciiTheme="majorHAnsi" w:hAnsiTheme="majorHAnsi"/>
          <w:vertAlign w:val="superscript"/>
        </w:rPr>
        <w:t>41,42</w:t>
      </w:r>
      <w:r w:rsidRPr="006C46AB">
        <w:rPr>
          <w:rFonts w:asciiTheme="majorHAnsi" w:hAnsiTheme="majorHAnsi"/>
        </w:rPr>
        <w:t xml:space="preserve"> and a long-acting analogue, </w:t>
      </w:r>
      <w:proofErr w:type="spellStart"/>
      <w:r w:rsidRPr="006C46AB">
        <w:rPr>
          <w:rFonts w:asciiTheme="majorHAnsi" w:hAnsiTheme="majorHAnsi"/>
        </w:rPr>
        <w:t>teduglutide</w:t>
      </w:r>
      <w:proofErr w:type="spellEnd"/>
      <w:r w:rsidRPr="006C46AB">
        <w:rPr>
          <w:rFonts w:asciiTheme="majorHAnsi" w:hAnsiTheme="majorHAnsi"/>
        </w:rPr>
        <w:t>, has been shown in clinical trials to augment intestinal adaptation in patients with shor</w:t>
      </w:r>
      <w:r w:rsidR="00C10418" w:rsidRPr="006C46AB">
        <w:rPr>
          <w:rFonts w:asciiTheme="majorHAnsi" w:hAnsiTheme="majorHAnsi"/>
        </w:rPr>
        <w:t>t bowel</w:t>
      </w:r>
      <w:r w:rsidR="00691E64" w:rsidRPr="006C46AB">
        <w:rPr>
          <w:rFonts w:asciiTheme="majorHAnsi" w:hAnsiTheme="majorHAnsi"/>
          <w:vertAlign w:val="superscript"/>
        </w:rPr>
        <w:t>4</w:t>
      </w:r>
      <w:r w:rsidR="008D628B" w:rsidRPr="006C46AB">
        <w:rPr>
          <w:rFonts w:asciiTheme="majorHAnsi" w:hAnsiTheme="majorHAnsi"/>
          <w:vertAlign w:val="superscript"/>
        </w:rPr>
        <w:t>3</w:t>
      </w:r>
      <w:r w:rsidRPr="006C46AB">
        <w:rPr>
          <w:rFonts w:asciiTheme="majorHAnsi" w:hAnsiTheme="majorHAnsi"/>
        </w:rPr>
        <w:t xml:space="preserve">. </w:t>
      </w:r>
      <w:r w:rsidR="008B6E1F" w:rsidRPr="006C46AB">
        <w:rPr>
          <w:rFonts w:asciiTheme="majorHAnsi" w:hAnsiTheme="majorHAnsi"/>
        </w:rPr>
        <w:t>GLP-2 is secreted by L cells of the distal gut, probably in response to nutrients that have not be</w:t>
      </w:r>
      <w:r w:rsidR="00A63543" w:rsidRPr="006C46AB">
        <w:rPr>
          <w:rFonts w:asciiTheme="majorHAnsi" w:hAnsiTheme="majorHAnsi"/>
        </w:rPr>
        <w:t>en</w:t>
      </w:r>
      <w:r w:rsidR="008B6E1F" w:rsidRPr="006C46AB">
        <w:rPr>
          <w:rFonts w:asciiTheme="majorHAnsi" w:hAnsiTheme="majorHAnsi"/>
        </w:rPr>
        <w:t xml:space="preserve"> absorbed proximal</w:t>
      </w:r>
      <w:r w:rsidR="00A0494D" w:rsidRPr="006C46AB">
        <w:rPr>
          <w:rFonts w:asciiTheme="majorHAnsi" w:hAnsiTheme="majorHAnsi"/>
        </w:rPr>
        <w:t>ly</w:t>
      </w:r>
      <w:r w:rsidR="008B6E1F" w:rsidRPr="006C46AB">
        <w:rPr>
          <w:rFonts w:asciiTheme="majorHAnsi" w:hAnsiTheme="majorHAnsi"/>
        </w:rPr>
        <w:t xml:space="preserve">. </w:t>
      </w:r>
      <w:r w:rsidRPr="006C46AB">
        <w:rPr>
          <w:rFonts w:asciiTheme="majorHAnsi" w:hAnsiTheme="majorHAnsi"/>
        </w:rPr>
        <w:t xml:space="preserve">Here we found clear evidence that </w:t>
      </w:r>
      <w:r w:rsidR="00EC2493" w:rsidRPr="006C46AB">
        <w:rPr>
          <w:rFonts w:asciiTheme="majorHAnsi" w:hAnsiTheme="majorHAnsi"/>
        </w:rPr>
        <w:t xml:space="preserve">low </w:t>
      </w:r>
      <w:r w:rsidRPr="006C46AB">
        <w:rPr>
          <w:rFonts w:asciiTheme="majorHAnsi" w:hAnsiTheme="majorHAnsi"/>
        </w:rPr>
        <w:t>circulating GLP-2 concentrations were associated with very high levels of translocation</w:t>
      </w:r>
      <w:r w:rsidR="0076492B" w:rsidRPr="006C46AB">
        <w:rPr>
          <w:rFonts w:asciiTheme="majorHAnsi" w:hAnsiTheme="majorHAnsi"/>
        </w:rPr>
        <w:t xml:space="preserve"> (Figure 4</w:t>
      </w:r>
      <w:r w:rsidR="00BC7949" w:rsidRPr="006C46AB">
        <w:rPr>
          <w:rFonts w:asciiTheme="majorHAnsi" w:hAnsiTheme="majorHAnsi"/>
        </w:rPr>
        <w:t>B</w:t>
      </w:r>
      <w:r w:rsidR="0076492B" w:rsidRPr="006C46AB">
        <w:rPr>
          <w:rFonts w:asciiTheme="majorHAnsi" w:hAnsiTheme="majorHAnsi"/>
        </w:rPr>
        <w:t>)</w:t>
      </w:r>
      <w:r w:rsidRPr="006C46AB">
        <w:rPr>
          <w:rFonts w:asciiTheme="majorHAnsi" w:hAnsiTheme="majorHAnsi"/>
        </w:rPr>
        <w:t xml:space="preserve">. </w:t>
      </w:r>
      <w:r w:rsidR="00EC2493" w:rsidRPr="006C46AB">
        <w:rPr>
          <w:rFonts w:asciiTheme="majorHAnsi" w:hAnsiTheme="majorHAnsi"/>
        </w:rPr>
        <w:t xml:space="preserve">The absolute concentration of GLP-2 is not easy to establish as different techniques (ELISA, </w:t>
      </w:r>
      <w:proofErr w:type="spellStart"/>
      <w:r w:rsidR="00EC2493" w:rsidRPr="006C46AB">
        <w:rPr>
          <w:rFonts w:asciiTheme="majorHAnsi" w:hAnsiTheme="majorHAnsi"/>
        </w:rPr>
        <w:t>RadioImmunoAssay</w:t>
      </w:r>
      <w:proofErr w:type="spellEnd"/>
      <w:r w:rsidR="00EC2493" w:rsidRPr="006C46AB">
        <w:rPr>
          <w:rFonts w:asciiTheme="majorHAnsi" w:hAnsiTheme="majorHAnsi"/>
        </w:rPr>
        <w:t>) have different sensitiviti</w:t>
      </w:r>
      <w:r w:rsidR="00907A5C" w:rsidRPr="006C46AB">
        <w:rPr>
          <w:rFonts w:asciiTheme="majorHAnsi" w:hAnsiTheme="majorHAnsi"/>
        </w:rPr>
        <w:t>es and give different results. Average n</w:t>
      </w:r>
      <w:r w:rsidR="00EC2493" w:rsidRPr="006C46AB">
        <w:rPr>
          <w:rFonts w:asciiTheme="majorHAnsi" w:hAnsiTheme="majorHAnsi"/>
        </w:rPr>
        <w:t>ormal circulating levels have variously been repor</w:t>
      </w:r>
      <w:r w:rsidR="00247285" w:rsidRPr="006C46AB">
        <w:rPr>
          <w:rFonts w:asciiTheme="majorHAnsi" w:hAnsiTheme="majorHAnsi"/>
        </w:rPr>
        <w:t xml:space="preserve">ted as 0.1 </w:t>
      </w:r>
      <w:proofErr w:type="spellStart"/>
      <w:r w:rsidR="00247285" w:rsidRPr="006C46AB">
        <w:rPr>
          <w:rFonts w:asciiTheme="majorHAnsi" w:hAnsiTheme="majorHAnsi"/>
        </w:rPr>
        <w:t>ng</w:t>
      </w:r>
      <w:proofErr w:type="spellEnd"/>
      <w:r w:rsidR="00247285" w:rsidRPr="006C46AB">
        <w:rPr>
          <w:rFonts w:asciiTheme="majorHAnsi" w:hAnsiTheme="majorHAnsi"/>
        </w:rPr>
        <w:t>/ml</w:t>
      </w:r>
      <w:r w:rsidR="00691E64" w:rsidRPr="006C46AB">
        <w:rPr>
          <w:rFonts w:asciiTheme="majorHAnsi" w:hAnsiTheme="majorHAnsi"/>
          <w:vertAlign w:val="superscript"/>
        </w:rPr>
        <w:t>4</w:t>
      </w:r>
      <w:r w:rsidR="008D628B" w:rsidRPr="006C46AB">
        <w:rPr>
          <w:rFonts w:asciiTheme="majorHAnsi" w:hAnsiTheme="majorHAnsi"/>
          <w:vertAlign w:val="superscript"/>
        </w:rPr>
        <w:t>4</w:t>
      </w:r>
      <w:r w:rsidR="00A63543" w:rsidRPr="006C46AB">
        <w:rPr>
          <w:rFonts w:asciiTheme="majorHAnsi" w:hAnsiTheme="majorHAnsi"/>
        </w:rPr>
        <w:t xml:space="preserve"> or </w:t>
      </w:r>
      <w:r w:rsidR="00247285" w:rsidRPr="006C46AB">
        <w:rPr>
          <w:rFonts w:asciiTheme="majorHAnsi" w:hAnsiTheme="majorHAnsi"/>
        </w:rPr>
        <w:t>42pg/ml by RIA</w:t>
      </w:r>
      <w:r w:rsidR="00247285" w:rsidRPr="006C46AB">
        <w:rPr>
          <w:rFonts w:asciiTheme="majorHAnsi" w:hAnsiTheme="majorHAnsi"/>
          <w:vertAlign w:val="superscript"/>
        </w:rPr>
        <w:t>4</w:t>
      </w:r>
      <w:r w:rsidR="008D628B" w:rsidRPr="006C46AB">
        <w:rPr>
          <w:rFonts w:asciiTheme="majorHAnsi" w:hAnsiTheme="majorHAnsi"/>
          <w:vertAlign w:val="superscript"/>
        </w:rPr>
        <w:t>5</w:t>
      </w:r>
      <w:r w:rsidR="00A63543" w:rsidRPr="006C46AB">
        <w:rPr>
          <w:rFonts w:asciiTheme="majorHAnsi" w:hAnsiTheme="majorHAnsi"/>
          <w:vertAlign w:val="subscript"/>
        </w:rPr>
        <w:t>,</w:t>
      </w:r>
      <w:r w:rsidR="00A63543" w:rsidRPr="006C46AB">
        <w:rPr>
          <w:rFonts w:asciiTheme="majorHAnsi" w:hAnsiTheme="majorHAnsi"/>
        </w:rPr>
        <w:t xml:space="preserve"> and</w:t>
      </w:r>
      <w:r w:rsidR="00247285" w:rsidRPr="006C46AB">
        <w:rPr>
          <w:rFonts w:asciiTheme="majorHAnsi" w:hAnsiTheme="majorHAnsi"/>
        </w:rPr>
        <w:t xml:space="preserve"> 0.4ng/ml</w:t>
      </w:r>
      <w:r w:rsidR="00247285" w:rsidRPr="006C46AB">
        <w:rPr>
          <w:rFonts w:asciiTheme="majorHAnsi" w:hAnsiTheme="majorHAnsi"/>
          <w:vertAlign w:val="superscript"/>
        </w:rPr>
        <w:t>4</w:t>
      </w:r>
      <w:r w:rsidR="008D628B" w:rsidRPr="006C46AB">
        <w:rPr>
          <w:rFonts w:asciiTheme="majorHAnsi" w:hAnsiTheme="majorHAnsi"/>
          <w:vertAlign w:val="superscript"/>
        </w:rPr>
        <w:t>6</w:t>
      </w:r>
      <w:r w:rsidR="00EC2493" w:rsidRPr="006C46AB">
        <w:rPr>
          <w:rFonts w:asciiTheme="majorHAnsi" w:hAnsiTheme="majorHAnsi"/>
        </w:rPr>
        <w:t xml:space="preserve"> o</w:t>
      </w:r>
      <w:r w:rsidR="00247285" w:rsidRPr="006C46AB">
        <w:rPr>
          <w:rFonts w:asciiTheme="majorHAnsi" w:hAnsiTheme="majorHAnsi"/>
        </w:rPr>
        <w:t>r 30pg/ml by ELISA</w:t>
      </w:r>
      <w:r w:rsidR="00247285" w:rsidRPr="006C46AB">
        <w:rPr>
          <w:rFonts w:asciiTheme="majorHAnsi" w:hAnsiTheme="majorHAnsi"/>
          <w:vertAlign w:val="superscript"/>
        </w:rPr>
        <w:t>4</w:t>
      </w:r>
      <w:r w:rsidR="008D628B" w:rsidRPr="006C46AB">
        <w:rPr>
          <w:rFonts w:asciiTheme="majorHAnsi" w:hAnsiTheme="majorHAnsi"/>
          <w:vertAlign w:val="superscript"/>
        </w:rPr>
        <w:t>7</w:t>
      </w:r>
      <w:r w:rsidR="00EC2493" w:rsidRPr="006C46AB">
        <w:rPr>
          <w:rFonts w:asciiTheme="majorHAnsi" w:hAnsiTheme="majorHAnsi"/>
        </w:rPr>
        <w:t xml:space="preserve">, and importantly the manufacturers of the ELISA we used report normal concentrations with a lower limit of 3.6 </w:t>
      </w:r>
      <w:proofErr w:type="spellStart"/>
      <w:r w:rsidR="00EC2493" w:rsidRPr="006C46AB">
        <w:rPr>
          <w:rFonts w:asciiTheme="majorHAnsi" w:hAnsiTheme="majorHAnsi"/>
        </w:rPr>
        <w:t>ng</w:t>
      </w:r>
      <w:proofErr w:type="spellEnd"/>
      <w:r w:rsidR="00EC2493" w:rsidRPr="006C46AB">
        <w:rPr>
          <w:rFonts w:asciiTheme="majorHAnsi" w:hAnsiTheme="majorHAnsi"/>
        </w:rPr>
        <w:t xml:space="preserve">/ml, so overall the concentrations in our participants were probably low. </w:t>
      </w:r>
      <w:r w:rsidR="008B6E1F" w:rsidRPr="006C46AB">
        <w:rPr>
          <w:rFonts w:asciiTheme="majorHAnsi" w:hAnsiTheme="majorHAnsi"/>
        </w:rPr>
        <w:t>O</w:t>
      </w:r>
      <w:r w:rsidRPr="006C46AB">
        <w:rPr>
          <w:rFonts w:asciiTheme="majorHAnsi" w:hAnsiTheme="majorHAnsi"/>
        </w:rPr>
        <w:t>ur findings would be consistent with a primary endocrine failure of GLP-2 synthesis rather than a failure of end-organ responsiveness</w:t>
      </w:r>
      <w:r w:rsidR="00A63543" w:rsidRPr="006C46AB">
        <w:rPr>
          <w:rFonts w:asciiTheme="majorHAnsi" w:hAnsiTheme="majorHAnsi"/>
        </w:rPr>
        <w:t xml:space="preserve"> (which would be expected to result in elevated GLP-2 levels)</w:t>
      </w:r>
      <w:r w:rsidRPr="006C46AB">
        <w:rPr>
          <w:rFonts w:asciiTheme="majorHAnsi" w:hAnsiTheme="majorHAnsi"/>
        </w:rPr>
        <w:t xml:space="preserve">. </w:t>
      </w:r>
    </w:p>
    <w:p w14:paraId="70A6F51F" w14:textId="77777777" w:rsidR="008616BF" w:rsidRPr="006C46AB" w:rsidRDefault="008616BF" w:rsidP="0025423E">
      <w:pPr>
        <w:widowControl w:val="0"/>
        <w:spacing w:line="360" w:lineRule="auto"/>
        <w:rPr>
          <w:rFonts w:asciiTheme="majorHAnsi" w:hAnsiTheme="majorHAnsi"/>
        </w:rPr>
      </w:pPr>
    </w:p>
    <w:p w14:paraId="0E8465D9" w14:textId="77EF3B8C" w:rsidR="008616BF" w:rsidRPr="006C46AB" w:rsidRDefault="00702D56" w:rsidP="0051176D">
      <w:pPr>
        <w:widowControl w:val="0"/>
        <w:spacing w:line="360" w:lineRule="auto"/>
        <w:rPr>
          <w:rFonts w:asciiTheme="majorHAnsi" w:hAnsiTheme="majorHAnsi"/>
        </w:rPr>
      </w:pPr>
      <w:r w:rsidRPr="006C46AB">
        <w:rPr>
          <w:rFonts w:asciiTheme="majorHAnsi" w:hAnsiTheme="majorHAnsi"/>
        </w:rPr>
        <w:t xml:space="preserve">Hypothesis-free </w:t>
      </w:r>
      <w:r w:rsidR="008616BF" w:rsidRPr="006C46AB">
        <w:rPr>
          <w:rFonts w:asciiTheme="majorHAnsi" w:hAnsiTheme="majorHAnsi"/>
        </w:rPr>
        <w:t>analysis</w:t>
      </w:r>
      <w:r w:rsidRPr="006C46AB">
        <w:rPr>
          <w:rFonts w:asciiTheme="majorHAnsi" w:hAnsiTheme="majorHAnsi"/>
        </w:rPr>
        <w:t xml:space="preserve"> of the </w:t>
      </w:r>
      <w:proofErr w:type="spellStart"/>
      <w:r w:rsidRPr="006C46AB">
        <w:rPr>
          <w:rFonts w:asciiTheme="majorHAnsi" w:hAnsiTheme="majorHAnsi"/>
        </w:rPr>
        <w:t>transcriptome</w:t>
      </w:r>
      <w:proofErr w:type="spellEnd"/>
      <w:r w:rsidR="00870E8C" w:rsidRPr="006C46AB">
        <w:rPr>
          <w:rFonts w:asciiTheme="majorHAnsi" w:hAnsiTheme="majorHAnsi"/>
        </w:rPr>
        <w:t>, comparing biopsies from severe and very mild enteropathy,</w:t>
      </w:r>
      <w:r w:rsidR="008616BF" w:rsidRPr="006C46AB">
        <w:rPr>
          <w:rFonts w:asciiTheme="majorHAnsi" w:hAnsiTheme="majorHAnsi"/>
        </w:rPr>
        <w:t xml:space="preserve"> revealed some important new insights. </w:t>
      </w:r>
      <w:r w:rsidRPr="006C46AB">
        <w:rPr>
          <w:rFonts w:asciiTheme="majorHAnsi" w:hAnsiTheme="majorHAnsi"/>
        </w:rPr>
        <w:t>We have previously shown that the Paneth cell antimicrobials HD5 and HD6 are down-regulated in EE</w:t>
      </w:r>
      <w:r w:rsidRPr="006C46AB">
        <w:rPr>
          <w:rFonts w:asciiTheme="majorHAnsi" w:hAnsiTheme="majorHAnsi"/>
          <w:vertAlign w:val="superscript"/>
        </w:rPr>
        <w:t>4</w:t>
      </w:r>
      <w:r w:rsidR="008D628B" w:rsidRPr="006C46AB">
        <w:rPr>
          <w:rFonts w:asciiTheme="majorHAnsi" w:hAnsiTheme="majorHAnsi"/>
          <w:vertAlign w:val="superscript"/>
        </w:rPr>
        <w:t>8</w:t>
      </w:r>
      <w:r w:rsidRPr="006C46AB">
        <w:rPr>
          <w:rFonts w:asciiTheme="majorHAnsi" w:hAnsiTheme="majorHAnsi"/>
        </w:rPr>
        <w:t>, and these data confirm our earlier findings. The other transcriptional changes require further work, but are consistent with findings in other inflammatory conditions and with our data on T cell activation in EE</w:t>
      </w:r>
      <w:r w:rsidR="007949A2" w:rsidRPr="006C46AB">
        <w:rPr>
          <w:rFonts w:asciiTheme="majorHAnsi" w:hAnsiTheme="majorHAnsi"/>
          <w:vertAlign w:val="superscript"/>
        </w:rPr>
        <w:t>4</w:t>
      </w:r>
      <w:r w:rsidR="008D628B" w:rsidRPr="006C46AB">
        <w:rPr>
          <w:rFonts w:asciiTheme="majorHAnsi" w:hAnsiTheme="majorHAnsi"/>
          <w:vertAlign w:val="superscript"/>
        </w:rPr>
        <w:t>9</w:t>
      </w:r>
      <w:r w:rsidRPr="006C46AB">
        <w:rPr>
          <w:rFonts w:asciiTheme="majorHAnsi" w:hAnsiTheme="majorHAnsi"/>
        </w:rPr>
        <w:t xml:space="preserve">. </w:t>
      </w:r>
      <w:r w:rsidR="008616BF" w:rsidRPr="006C46AB">
        <w:rPr>
          <w:rFonts w:asciiTheme="majorHAnsi" w:hAnsiTheme="majorHAnsi"/>
        </w:rPr>
        <w:t xml:space="preserve">The down-regulation of DMT-1 might help explain the </w:t>
      </w:r>
      <w:r w:rsidR="007949A2" w:rsidRPr="006C46AB">
        <w:rPr>
          <w:rFonts w:asciiTheme="majorHAnsi" w:hAnsiTheme="majorHAnsi"/>
        </w:rPr>
        <w:t>reduced</w:t>
      </w:r>
      <w:r w:rsidR="00DD7420" w:rsidRPr="006C46AB">
        <w:rPr>
          <w:rFonts w:asciiTheme="majorHAnsi" w:hAnsiTheme="majorHAnsi"/>
        </w:rPr>
        <w:t xml:space="preserve"> zinc</w:t>
      </w:r>
      <w:r w:rsidR="008853E7" w:rsidRPr="006C46AB">
        <w:rPr>
          <w:rFonts w:asciiTheme="majorHAnsi" w:hAnsiTheme="majorHAnsi"/>
        </w:rPr>
        <w:t xml:space="preserve"> </w:t>
      </w:r>
      <w:r w:rsidR="00A0494D" w:rsidRPr="006C46AB">
        <w:rPr>
          <w:rFonts w:asciiTheme="majorHAnsi" w:hAnsiTheme="majorHAnsi"/>
        </w:rPr>
        <w:t>uptake</w:t>
      </w:r>
      <w:r w:rsidR="008853E7" w:rsidRPr="006C46AB">
        <w:rPr>
          <w:rFonts w:asciiTheme="majorHAnsi" w:hAnsiTheme="majorHAnsi"/>
        </w:rPr>
        <w:t>. Although the role played by DMT-1 in zinc transport is less secure than its role in iron</w:t>
      </w:r>
      <w:r w:rsidR="00247285" w:rsidRPr="006C46AB">
        <w:rPr>
          <w:rFonts w:asciiTheme="majorHAnsi" w:hAnsiTheme="majorHAnsi"/>
        </w:rPr>
        <w:t xml:space="preserve"> (II) and manganese uptake</w:t>
      </w:r>
      <w:r w:rsidR="00247285" w:rsidRPr="006C46AB">
        <w:rPr>
          <w:rFonts w:asciiTheme="majorHAnsi" w:hAnsiTheme="majorHAnsi"/>
          <w:vertAlign w:val="superscript"/>
        </w:rPr>
        <w:t>3</w:t>
      </w:r>
      <w:r w:rsidR="00691E64" w:rsidRPr="006C46AB">
        <w:rPr>
          <w:rFonts w:asciiTheme="majorHAnsi" w:hAnsiTheme="majorHAnsi"/>
          <w:vertAlign w:val="superscript"/>
        </w:rPr>
        <w:t>8</w:t>
      </w:r>
      <w:r w:rsidR="008853E7" w:rsidRPr="006C46AB">
        <w:rPr>
          <w:rFonts w:asciiTheme="majorHAnsi" w:hAnsiTheme="majorHAnsi"/>
        </w:rPr>
        <w:t>, it seems likely to play a role in uptake of supra-physiological doses such as the 25mg dose we administered</w:t>
      </w:r>
      <w:r w:rsidR="009B4CB6" w:rsidRPr="006C46AB">
        <w:rPr>
          <w:rFonts w:asciiTheme="majorHAnsi" w:hAnsiTheme="majorHAnsi"/>
        </w:rPr>
        <w:t xml:space="preserve">, and which are used in </w:t>
      </w:r>
      <w:r w:rsidR="00237C6D" w:rsidRPr="006C46AB">
        <w:rPr>
          <w:rFonts w:asciiTheme="majorHAnsi" w:hAnsiTheme="majorHAnsi"/>
        </w:rPr>
        <w:t>oral rehydration therapies for infectious diarrhoea and in micronutrient supplementation</w:t>
      </w:r>
      <w:r w:rsidR="008853E7" w:rsidRPr="006C46AB">
        <w:rPr>
          <w:rFonts w:asciiTheme="majorHAnsi" w:hAnsiTheme="majorHAnsi"/>
        </w:rPr>
        <w:t>. T</w:t>
      </w:r>
      <w:r w:rsidR="00DD7420" w:rsidRPr="006C46AB">
        <w:rPr>
          <w:rFonts w:asciiTheme="majorHAnsi" w:hAnsiTheme="majorHAnsi"/>
        </w:rPr>
        <w:t xml:space="preserve">hree other genes involved in iron uptake were also down-regulated. The down-regulation of </w:t>
      </w:r>
      <w:proofErr w:type="spellStart"/>
      <w:r w:rsidR="00DD7420" w:rsidRPr="006C46AB">
        <w:rPr>
          <w:rFonts w:asciiTheme="majorHAnsi" w:hAnsiTheme="majorHAnsi"/>
        </w:rPr>
        <w:t>antiprotease</w:t>
      </w:r>
      <w:proofErr w:type="spellEnd"/>
      <w:r w:rsidR="00DD7420" w:rsidRPr="006C46AB">
        <w:rPr>
          <w:rFonts w:asciiTheme="majorHAnsi" w:hAnsiTheme="majorHAnsi"/>
        </w:rPr>
        <w:t xml:space="preserve"> activity may help explain the epithelial defects which we have found </w:t>
      </w:r>
      <w:r w:rsidR="007949A2" w:rsidRPr="006C46AB">
        <w:rPr>
          <w:rFonts w:asciiTheme="majorHAnsi" w:hAnsiTheme="majorHAnsi"/>
        </w:rPr>
        <w:t>(Figures 2</w:t>
      </w:r>
      <w:r w:rsidR="00AD6A40" w:rsidRPr="006C46AB">
        <w:rPr>
          <w:rFonts w:asciiTheme="majorHAnsi" w:hAnsiTheme="majorHAnsi"/>
        </w:rPr>
        <w:t xml:space="preserve"> and 3</w:t>
      </w:r>
      <w:r w:rsidR="003F1ACB" w:rsidRPr="006C46AB">
        <w:rPr>
          <w:rFonts w:asciiTheme="majorHAnsi" w:hAnsiTheme="majorHAnsi"/>
        </w:rPr>
        <w:t xml:space="preserve">) </w:t>
      </w:r>
      <w:r w:rsidR="00DD7420" w:rsidRPr="006C46AB">
        <w:rPr>
          <w:rFonts w:asciiTheme="majorHAnsi" w:hAnsiTheme="majorHAnsi"/>
        </w:rPr>
        <w:t>to be correlated with translocation as they would render the mucosa susceptible to matrix degradation.</w:t>
      </w:r>
      <w:r w:rsidR="0076492B" w:rsidRPr="006C46AB">
        <w:rPr>
          <w:rFonts w:asciiTheme="majorHAnsi" w:hAnsiTheme="majorHAnsi"/>
        </w:rPr>
        <w:t xml:space="preserve"> </w:t>
      </w:r>
      <w:r w:rsidR="00226037" w:rsidRPr="006C46AB">
        <w:rPr>
          <w:rFonts w:asciiTheme="majorHAnsi" w:hAnsiTheme="majorHAnsi"/>
        </w:rPr>
        <w:t>SPINK-4 has also been implicat</w:t>
      </w:r>
      <w:r w:rsidR="00247285" w:rsidRPr="006C46AB">
        <w:rPr>
          <w:rFonts w:asciiTheme="majorHAnsi" w:hAnsiTheme="majorHAnsi"/>
        </w:rPr>
        <w:t>ed in coeliac disease</w:t>
      </w:r>
      <w:r w:rsidR="00247285" w:rsidRPr="006C46AB">
        <w:rPr>
          <w:rFonts w:asciiTheme="majorHAnsi" w:hAnsiTheme="majorHAnsi"/>
          <w:vertAlign w:val="superscript"/>
        </w:rPr>
        <w:t>4</w:t>
      </w:r>
      <w:r w:rsidR="007949A2" w:rsidRPr="006C46AB">
        <w:rPr>
          <w:rFonts w:asciiTheme="majorHAnsi" w:hAnsiTheme="majorHAnsi"/>
          <w:vertAlign w:val="superscript"/>
        </w:rPr>
        <w:t>8</w:t>
      </w:r>
      <w:r w:rsidR="00226037" w:rsidRPr="006C46AB">
        <w:rPr>
          <w:rFonts w:asciiTheme="majorHAnsi" w:hAnsiTheme="majorHAnsi"/>
        </w:rPr>
        <w:t xml:space="preserve">. </w:t>
      </w:r>
      <w:r w:rsidR="00737A6F" w:rsidRPr="006C46AB">
        <w:rPr>
          <w:rFonts w:asciiTheme="majorHAnsi" w:hAnsiTheme="majorHAnsi"/>
        </w:rPr>
        <w:t>Trefoil factor 3 is a mucosal protective peptide, secreted by goblet cells into the gut lumen and a major dr</w:t>
      </w:r>
      <w:r w:rsidR="00247285" w:rsidRPr="006C46AB">
        <w:rPr>
          <w:rFonts w:asciiTheme="majorHAnsi" w:hAnsiTheme="majorHAnsi"/>
        </w:rPr>
        <w:t>iver of epithelial repair</w:t>
      </w:r>
      <w:r w:rsidR="00691E64" w:rsidRPr="006C46AB">
        <w:rPr>
          <w:rFonts w:asciiTheme="majorHAnsi" w:hAnsiTheme="majorHAnsi"/>
          <w:vertAlign w:val="superscript"/>
        </w:rPr>
        <w:t>49</w:t>
      </w:r>
      <w:r w:rsidR="007949A2" w:rsidRPr="006C46AB">
        <w:rPr>
          <w:rFonts w:asciiTheme="majorHAnsi" w:hAnsiTheme="majorHAnsi"/>
          <w:vertAlign w:val="superscript"/>
        </w:rPr>
        <w:t>,50</w:t>
      </w:r>
      <w:r w:rsidR="00737A6F" w:rsidRPr="006C46AB">
        <w:rPr>
          <w:rFonts w:asciiTheme="majorHAnsi" w:hAnsiTheme="majorHAnsi"/>
        </w:rPr>
        <w:t>. Down-regulation of TFF3 synthesis in severe EE may imply a failure of a protective mechanism. In the light of our evidence that low circulating GLP-2 is associated with increased translocation we postulate that EE is driven or perpetuated by a</w:t>
      </w:r>
      <w:r w:rsidR="00DE1A10" w:rsidRPr="006C46AB">
        <w:rPr>
          <w:rFonts w:asciiTheme="majorHAnsi" w:hAnsiTheme="majorHAnsi"/>
        </w:rPr>
        <w:t xml:space="preserve"> failure of homeostatic </w:t>
      </w:r>
      <w:r w:rsidR="00A0494D" w:rsidRPr="006C46AB">
        <w:rPr>
          <w:rFonts w:asciiTheme="majorHAnsi" w:hAnsiTheme="majorHAnsi"/>
        </w:rPr>
        <w:t xml:space="preserve">repair </w:t>
      </w:r>
      <w:r w:rsidR="00DE1A10" w:rsidRPr="006C46AB">
        <w:rPr>
          <w:rFonts w:asciiTheme="majorHAnsi" w:hAnsiTheme="majorHAnsi"/>
        </w:rPr>
        <w:t>mechanisms.</w:t>
      </w:r>
    </w:p>
    <w:p w14:paraId="18DF2461" w14:textId="77777777" w:rsidR="00FE0E2B" w:rsidRPr="006C46AB" w:rsidRDefault="00FE0E2B" w:rsidP="0025423E">
      <w:pPr>
        <w:widowControl w:val="0"/>
        <w:spacing w:line="360" w:lineRule="auto"/>
        <w:rPr>
          <w:rFonts w:asciiTheme="majorHAnsi" w:hAnsiTheme="majorHAnsi"/>
        </w:rPr>
      </w:pPr>
    </w:p>
    <w:p w14:paraId="2FF66E30" w14:textId="01821E5F" w:rsidR="008616BF" w:rsidRPr="006C46AB" w:rsidRDefault="00587805" w:rsidP="0025423E">
      <w:pPr>
        <w:widowControl w:val="0"/>
        <w:spacing w:line="360" w:lineRule="auto"/>
        <w:rPr>
          <w:rFonts w:asciiTheme="majorHAnsi" w:hAnsiTheme="majorHAnsi"/>
        </w:rPr>
      </w:pPr>
      <w:r w:rsidRPr="006C46AB">
        <w:rPr>
          <w:rFonts w:asciiTheme="majorHAnsi" w:hAnsiTheme="majorHAnsi"/>
        </w:rPr>
        <w:t xml:space="preserve">In conclusion, we have shown for what we believe to be the first time a significant epithelial barrier defect in EE </w:t>
      </w:r>
      <w:r w:rsidRPr="006C46AB">
        <w:rPr>
          <w:rFonts w:asciiTheme="majorHAnsi" w:hAnsiTheme="majorHAnsi"/>
          <w:i/>
        </w:rPr>
        <w:t>in vivo</w:t>
      </w:r>
      <w:r w:rsidRPr="006C46AB">
        <w:rPr>
          <w:rFonts w:asciiTheme="majorHAnsi" w:hAnsiTheme="majorHAnsi"/>
        </w:rPr>
        <w:t xml:space="preserve">, which provides a plausible </w:t>
      </w:r>
      <w:r w:rsidR="009E1B11" w:rsidRPr="006C46AB">
        <w:rPr>
          <w:rFonts w:asciiTheme="majorHAnsi" w:hAnsiTheme="majorHAnsi"/>
        </w:rPr>
        <w:t>pathway</w:t>
      </w:r>
      <w:r w:rsidRPr="006C46AB">
        <w:rPr>
          <w:rFonts w:asciiTheme="majorHAnsi" w:hAnsiTheme="majorHAnsi"/>
        </w:rPr>
        <w:t xml:space="preserve"> for the bacterial translocation observed in </w:t>
      </w:r>
      <w:r w:rsidR="00BC7949" w:rsidRPr="006C46AB">
        <w:rPr>
          <w:rFonts w:asciiTheme="majorHAnsi" w:hAnsiTheme="majorHAnsi"/>
        </w:rPr>
        <w:t>many populations</w:t>
      </w:r>
      <w:r w:rsidRPr="006C46AB">
        <w:rPr>
          <w:rFonts w:asciiTheme="majorHAnsi" w:hAnsiTheme="majorHAnsi"/>
        </w:rPr>
        <w:t xml:space="preserve">. </w:t>
      </w:r>
      <w:r w:rsidR="00C6145A" w:rsidRPr="006C46AB">
        <w:rPr>
          <w:rFonts w:asciiTheme="majorHAnsi" w:hAnsiTheme="majorHAnsi"/>
        </w:rPr>
        <w:t xml:space="preserve">The </w:t>
      </w:r>
      <w:r w:rsidR="00C6145A" w:rsidRPr="006C46AB">
        <w:rPr>
          <w:rFonts w:asciiTheme="majorHAnsi" w:hAnsiTheme="majorHAnsi" w:cs="Helvetica"/>
          <w:lang w:val="en-US"/>
        </w:rPr>
        <w:t xml:space="preserve">epithelial damage, in part at least, seems to follow from a failure of mucosal maintenance systems. </w:t>
      </w:r>
      <w:r w:rsidRPr="006C46AB">
        <w:rPr>
          <w:rFonts w:asciiTheme="majorHAnsi" w:hAnsiTheme="majorHAnsi"/>
        </w:rPr>
        <w:t xml:space="preserve">Our data suggest that </w:t>
      </w:r>
      <w:r w:rsidR="005F48F9" w:rsidRPr="006C46AB">
        <w:rPr>
          <w:rFonts w:asciiTheme="majorHAnsi" w:hAnsiTheme="majorHAnsi"/>
        </w:rPr>
        <w:t xml:space="preserve">reduced </w:t>
      </w:r>
      <w:r w:rsidRPr="006C46AB">
        <w:rPr>
          <w:rFonts w:asciiTheme="majorHAnsi" w:hAnsiTheme="majorHAnsi"/>
        </w:rPr>
        <w:t xml:space="preserve">mucosal defence peptides, including antimicrobial peptides HD5 and 6, </w:t>
      </w:r>
      <w:r w:rsidR="005F48F9" w:rsidRPr="006C46AB">
        <w:rPr>
          <w:rFonts w:asciiTheme="majorHAnsi" w:hAnsiTheme="majorHAnsi"/>
        </w:rPr>
        <w:t xml:space="preserve">reduced </w:t>
      </w:r>
      <w:r w:rsidRPr="006C46AB">
        <w:rPr>
          <w:rFonts w:asciiTheme="majorHAnsi" w:hAnsiTheme="majorHAnsi"/>
        </w:rPr>
        <w:t>circulating hormones such as GLP-2</w:t>
      </w:r>
      <w:r w:rsidR="009E1B11" w:rsidRPr="006C46AB">
        <w:rPr>
          <w:rFonts w:asciiTheme="majorHAnsi" w:hAnsiTheme="majorHAnsi"/>
        </w:rPr>
        <w:t>,</w:t>
      </w:r>
      <w:r w:rsidRPr="006C46AB">
        <w:rPr>
          <w:rFonts w:asciiTheme="majorHAnsi" w:hAnsiTheme="majorHAnsi"/>
        </w:rPr>
        <w:t xml:space="preserve"> and </w:t>
      </w:r>
      <w:r w:rsidR="005F48F9" w:rsidRPr="006C46AB">
        <w:rPr>
          <w:rFonts w:asciiTheme="majorHAnsi" w:hAnsiTheme="majorHAnsi"/>
        </w:rPr>
        <w:t xml:space="preserve">reduced </w:t>
      </w:r>
      <w:r w:rsidRPr="006C46AB">
        <w:rPr>
          <w:rFonts w:asciiTheme="majorHAnsi" w:hAnsiTheme="majorHAnsi"/>
        </w:rPr>
        <w:t xml:space="preserve">locally secreted factors such as trefoil factor 3 and anti-proteases may </w:t>
      </w:r>
      <w:r w:rsidR="005F48F9" w:rsidRPr="006C46AB">
        <w:rPr>
          <w:rFonts w:asciiTheme="majorHAnsi" w:hAnsiTheme="majorHAnsi"/>
        </w:rPr>
        <w:t>contribute to</w:t>
      </w:r>
      <w:r w:rsidRPr="006C46AB">
        <w:rPr>
          <w:rFonts w:asciiTheme="majorHAnsi" w:hAnsiTheme="majorHAnsi"/>
        </w:rPr>
        <w:t xml:space="preserve"> </w:t>
      </w:r>
      <w:r w:rsidR="009E1B11" w:rsidRPr="006C46AB">
        <w:rPr>
          <w:rFonts w:asciiTheme="majorHAnsi" w:hAnsiTheme="majorHAnsi"/>
        </w:rPr>
        <w:t xml:space="preserve">the translocation and malabsorption seen in </w:t>
      </w:r>
      <w:r w:rsidRPr="006C46AB">
        <w:rPr>
          <w:rFonts w:asciiTheme="majorHAnsi" w:hAnsiTheme="majorHAnsi"/>
        </w:rPr>
        <w:t>severe enteropathy</w:t>
      </w:r>
      <w:r w:rsidR="00776F07" w:rsidRPr="006C46AB">
        <w:rPr>
          <w:rFonts w:asciiTheme="majorHAnsi" w:hAnsiTheme="majorHAnsi"/>
        </w:rPr>
        <w:t>. In the light of these data, c</w:t>
      </w:r>
      <w:r w:rsidR="00C6145A" w:rsidRPr="006C46AB">
        <w:rPr>
          <w:rFonts w:asciiTheme="majorHAnsi" w:hAnsiTheme="majorHAnsi"/>
        </w:rPr>
        <w:t>linical trials</w:t>
      </w:r>
      <w:r w:rsidR="005F48F9" w:rsidRPr="006C46AB">
        <w:rPr>
          <w:rFonts w:asciiTheme="majorHAnsi" w:hAnsiTheme="majorHAnsi"/>
        </w:rPr>
        <w:t xml:space="preserve"> of sources of these factors</w:t>
      </w:r>
      <w:r w:rsidR="00A0494D" w:rsidRPr="006C46AB">
        <w:rPr>
          <w:rFonts w:asciiTheme="majorHAnsi" w:hAnsiTheme="majorHAnsi"/>
        </w:rPr>
        <w:t xml:space="preserve"> </w:t>
      </w:r>
      <w:r w:rsidR="00776F07" w:rsidRPr="006C46AB">
        <w:rPr>
          <w:rFonts w:asciiTheme="majorHAnsi" w:hAnsiTheme="majorHAnsi"/>
        </w:rPr>
        <w:t>may be considered</w:t>
      </w:r>
      <w:r w:rsidRPr="006C46AB">
        <w:rPr>
          <w:rFonts w:asciiTheme="majorHAnsi" w:hAnsiTheme="majorHAnsi"/>
        </w:rPr>
        <w:t>.</w:t>
      </w:r>
      <w:r w:rsidR="003123FC" w:rsidRPr="006C46AB">
        <w:rPr>
          <w:rFonts w:asciiTheme="majorHAnsi" w:hAnsiTheme="majorHAnsi"/>
        </w:rPr>
        <w:br w:type="page"/>
      </w:r>
    </w:p>
    <w:p w14:paraId="3F370418" w14:textId="36B8932F" w:rsidR="00CA7EFD" w:rsidRPr="006C46AB" w:rsidRDefault="00CA7EFD" w:rsidP="0025423E">
      <w:pPr>
        <w:widowControl w:val="0"/>
        <w:spacing w:line="360" w:lineRule="auto"/>
        <w:rPr>
          <w:rFonts w:asciiTheme="majorHAnsi" w:hAnsiTheme="majorHAnsi"/>
        </w:rPr>
      </w:pPr>
      <w:r w:rsidRPr="006C46AB">
        <w:rPr>
          <w:rFonts w:asciiTheme="majorHAnsi" w:hAnsiTheme="majorHAnsi"/>
          <w:b/>
        </w:rPr>
        <w:t>Acknowledgements</w:t>
      </w:r>
      <w:r w:rsidR="007949A2" w:rsidRPr="006C46AB">
        <w:rPr>
          <w:rFonts w:asciiTheme="majorHAnsi" w:hAnsiTheme="majorHAnsi"/>
          <w:b/>
        </w:rPr>
        <w:t xml:space="preserve">: </w:t>
      </w:r>
      <w:r w:rsidR="00853083" w:rsidRPr="006C46AB">
        <w:rPr>
          <w:rFonts w:asciiTheme="majorHAnsi" w:hAnsiTheme="majorHAnsi"/>
        </w:rPr>
        <w:t xml:space="preserve">We gratefully acknowledge training in the use of the confocal </w:t>
      </w:r>
      <w:proofErr w:type="spellStart"/>
      <w:r w:rsidR="00853083" w:rsidRPr="006C46AB">
        <w:rPr>
          <w:rFonts w:asciiTheme="majorHAnsi" w:hAnsiTheme="majorHAnsi"/>
        </w:rPr>
        <w:t>endomicroscope</w:t>
      </w:r>
      <w:proofErr w:type="spellEnd"/>
      <w:r w:rsidR="00853083" w:rsidRPr="006C46AB">
        <w:rPr>
          <w:rFonts w:asciiTheme="majorHAnsi" w:hAnsiTheme="majorHAnsi"/>
        </w:rPr>
        <w:t xml:space="preserve"> by </w:t>
      </w:r>
      <w:r w:rsidRPr="006C46AB">
        <w:rPr>
          <w:rFonts w:asciiTheme="majorHAnsi" w:hAnsiTheme="majorHAnsi"/>
        </w:rPr>
        <w:t xml:space="preserve">Cristina Maria </w:t>
      </w:r>
      <w:proofErr w:type="spellStart"/>
      <w:r w:rsidRPr="006C46AB">
        <w:rPr>
          <w:rFonts w:asciiTheme="majorHAnsi" w:hAnsiTheme="majorHAnsi"/>
        </w:rPr>
        <w:t>Trovato</w:t>
      </w:r>
      <w:proofErr w:type="spellEnd"/>
      <w:r w:rsidRPr="006C46AB">
        <w:rPr>
          <w:rFonts w:asciiTheme="majorHAnsi" w:hAnsiTheme="majorHAnsi"/>
        </w:rPr>
        <w:t xml:space="preserve"> and Cristiano </w:t>
      </w:r>
      <w:proofErr w:type="spellStart"/>
      <w:r w:rsidRPr="006C46AB">
        <w:rPr>
          <w:rFonts w:asciiTheme="majorHAnsi" w:hAnsiTheme="majorHAnsi"/>
        </w:rPr>
        <w:t>Crosta</w:t>
      </w:r>
      <w:proofErr w:type="spellEnd"/>
      <w:r w:rsidR="00853083" w:rsidRPr="006C46AB">
        <w:rPr>
          <w:rFonts w:asciiTheme="majorHAnsi" w:hAnsiTheme="majorHAnsi"/>
        </w:rPr>
        <w:t xml:space="preserve"> of the European Ins</w:t>
      </w:r>
      <w:r w:rsidR="00D9498B" w:rsidRPr="006C46AB">
        <w:rPr>
          <w:rFonts w:asciiTheme="majorHAnsi" w:hAnsiTheme="majorHAnsi"/>
        </w:rPr>
        <w:t>t</w:t>
      </w:r>
      <w:r w:rsidR="00853083" w:rsidRPr="006C46AB">
        <w:rPr>
          <w:rFonts w:asciiTheme="majorHAnsi" w:hAnsiTheme="majorHAnsi"/>
        </w:rPr>
        <w:t>itute of Oncology, Milan.</w:t>
      </w:r>
      <w:r w:rsidR="001B56FA" w:rsidRPr="006C46AB">
        <w:rPr>
          <w:rFonts w:asciiTheme="majorHAnsi" w:hAnsiTheme="majorHAnsi"/>
        </w:rPr>
        <w:t xml:space="preserve"> We also thank </w:t>
      </w:r>
      <w:proofErr w:type="spellStart"/>
      <w:r w:rsidR="001B56FA" w:rsidRPr="006C46AB">
        <w:rPr>
          <w:rFonts w:asciiTheme="majorHAnsi" w:hAnsiTheme="majorHAnsi"/>
        </w:rPr>
        <w:t>Nurmohammed</w:t>
      </w:r>
      <w:proofErr w:type="spellEnd"/>
      <w:r w:rsidR="001B56FA" w:rsidRPr="006C46AB">
        <w:rPr>
          <w:rFonts w:asciiTheme="majorHAnsi" w:hAnsiTheme="majorHAnsi"/>
        </w:rPr>
        <w:t xml:space="preserve"> Sheikh and </w:t>
      </w:r>
      <w:proofErr w:type="spellStart"/>
      <w:r w:rsidR="001B56FA" w:rsidRPr="006C46AB">
        <w:rPr>
          <w:rFonts w:asciiTheme="majorHAnsi" w:hAnsiTheme="majorHAnsi"/>
        </w:rPr>
        <w:t>Malick</w:t>
      </w:r>
      <w:proofErr w:type="spellEnd"/>
      <w:r w:rsidR="001B56FA" w:rsidRPr="006C46AB">
        <w:rPr>
          <w:rFonts w:asciiTheme="majorHAnsi" w:hAnsiTheme="majorHAnsi"/>
        </w:rPr>
        <w:t xml:space="preserve"> </w:t>
      </w:r>
      <w:proofErr w:type="spellStart"/>
      <w:r w:rsidR="001B56FA" w:rsidRPr="006C46AB">
        <w:rPr>
          <w:rFonts w:asciiTheme="majorHAnsi" w:hAnsiTheme="majorHAnsi"/>
        </w:rPr>
        <w:t>Ndao</w:t>
      </w:r>
      <w:proofErr w:type="spellEnd"/>
      <w:r w:rsidR="001B56FA" w:rsidRPr="006C46AB">
        <w:rPr>
          <w:rFonts w:asciiTheme="majorHAnsi" w:hAnsiTheme="majorHAnsi"/>
        </w:rPr>
        <w:t xml:space="preserve"> for help with RNA extraction and </w:t>
      </w:r>
      <w:r w:rsidR="00870E8C" w:rsidRPr="006C46AB">
        <w:rPr>
          <w:rFonts w:asciiTheme="majorHAnsi" w:hAnsiTheme="majorHAnsi"/>
        </w:rPr>
        <w:t xml:space="preserve">transport for sequencing, </w:t>
      </w:r>
      <w:proofErr w:type="spellStart"/>
      <w:r w:rsidR="000761A7" w:rsidRPr="006C46AB">
        <w:rPr>
          <w:rFonts w:asciiTheme="majorHAnsi" w:hAnsiTheme="majorHAnsi"/>
        </w:rPr>
        <w:t>Mutinta</w:t>
      </w:r>
      <w:proofErr w:type="spellEnd"/>
      <w:r w:rsidR="000761A7" w:rsidRPr="006C46AB">
        <w:rPr>
          <w:rFonts w:asciiTheme="majorHAnsi" w:hAnsiTheme="majorHAnsi"/>
        </w:rPr>
        <w:t xml:space="preserve"> </w:t>
      </w:r>
      <w:proofErr w:type="spellStart"/>
      <w:r w:rsidR="000761A7" w:rsidRPr="006C46AB">
        <w:rPr>
          <w:rFonts w:asciiTheme="majorHAnsi" w:hAnsiTheme="majorHAnsi"/>
        </w:rPr>
        <w:t>Natala</w:t>
      </w:r>
      <w:proofErr w:type="spellEnd"/>
      <w:r w:rsidR="000761A7" w:rsidRPr="006C46AB">
        <w:rPr>
          <w:rFonts w:asciiTheme="majorHAnsi" w:hAnsiTheme="majorHAnsi"/>
        </w:rPr>
        <w:t xml:space="preserve"> for preliminary work on the zinc assays, </w:t>
      </w:r>
      <w:r w:rsidR="00870E8C" w:rsidRPr="006C46AB">
        <w:rPr>
          <w:rFonts w:asciiTheme="majorHAnsi" w:hAnsiTheme="majorHAnsi"/>
        </w:rPr>
        <w:t>and Jemmy Ma</w:t>
      </w:r>
      <w:r w:rsidR="001B56FA" w:rsidRPr="006C46AB">
        <w:rPr>
          <w:rFonts w:asciiTheme="majorHAnsi" w:hAnsiTheme="majorHAnsi"/>
        </w:rPr>
        <w:t xml:space="preserve"> of the BGI for </w:t>
      </w:r>
      <w:proofErr w:type="spellStart"/>
      <w:r w:rsidR="001B56FA" w:rsidRPr="006C46AB">
        <w:rPr>
          <w:rFonts w:asciiTheme="majorHAnsi" w:hAnsiTheme="majorHAnsi"/>
        </w:rPr>
        <w:t>transcriptomic</w:t>
      </w:r>
      <w:proofErr w:type="spellEnd"/>
      <w:r w:rsidR="001B56FA" w:rsidRPr="006C46AB">
        <w:rPr>
          <w:rFonts w:asciiTheme="majorHAnsi" w:hAnsiTheme="majorHAnsi"/>
        </w:rPr>
        <w:t xml:space="preserve"> analysis.</w:t>
      </w:r>
      <w:r w:rsidR="00870E8C" w:rsidRPr="006C46AB">
        <w:rPr>
          <w:rFonts w:asciiTheme="majorHAnsi" w:hAnsiTheme="majorHAnsi"/>
        </w:rPr>
        <w:t xml:space="preserve"> We gratefully acknowledge </w:t>
      </w:r>
      <w:proofErr w:type="spellStart"/>
      <w:r w:rsidR="00870E8C" w:rsidRPr="006C46AB">
        <w:rPr>
          <w:rFonts w:asciiTheme="majorHAnsi" w:hAnsiTheme="majorHAnsi"/>
        </w:rPr>
        <w:t>Aasthaa</w:t>
      </w:r>
      <w:proofErr w:type="spellEnd"/>
      <w:r w:rsidR="00870E8C" w:rsidRPr="006C46AB">
        <w:rPr>
          <w:rFonts w:asciiTheme="majorHAnsi" w:hAnsiTheme="majorHAnsi"/>
        </w:rPr>
        <w:t xml:space="preserve"> </w:t>
      </w:r>
      <w:proofErr w:type="spellStart"/>
      <w:r w:rsidR="00870E8C" w:rsidRPr="006C46AB">
        <w:rPr>
          <w:rFonts w:asciiTheme="majorHAnsi" w:hAnsiTheme="majorHAnsi"/>
        </w:rPr>
        <w:t>Bansal</w:t>
      </w:r>
      <w:proofErr w:type="spellEnd"/>
      <w:r w:rsidR="006D0F7F" w:rsidRPr="006C46AB">
        <w:rPr>
          <w:rFonts w:asciiTheme="majorHAnsi" w:hAnsiTheme="majorHAnsi"/>
        </w:rPr>
        <w:t>, University of Washington,</w:t>
      </w:r>
      <w:r w:rsidR="00870E8C" w:rsidRPr="006C46AB">
        <w:rPr>
          <w:rFonts w:asciiTheme="majorHAnsi" w:hAnsiTheme="majorHAnsi"/>
        </w:rPr>
        <w:t xml:space="preserve"> for statistical advice</w:t>
      </w:r>
      <w:r w:rsidR="000761A7" w:rsidRPr="006C46AB">
        <w:rPr>
          <w:rFonts w:asciiTheme="majorHAnsi" w:hAnsiTheme="majorHAnsi"/>
        </w:rPr>
        <w:t xml:space="preserve">, and Donna </w:t>
      </w:r>
      <w:proofErr w:type="spellStart"/>
      <w:r w:rsidR="000761A7" w:rsidRPr="006C46AB">
        <w:rPr>
          <w:rFonts w:asciiTheme="majorHAnsi" w:hAnsiTheme="majorHAnsi"/>
        </w:rPr>
        <w:t>Denno</w:t>
      </w:r>
      <w:proofErr w:type="spellEnd"/>
      <w:r w:rsidR="000761A7" w:rsidRPr="006C46AB">
        <w:rPr>
          <w:rFonts w:asciiTheme="majorHAnsi" w:hAnsiTheme="majorHAnsi"/>
        </w:rPr>
        <w:t xml:space="preserve">, James P </w:t>
      </w:r>
      <w:proofErr w:type="spellStart"/>
      <w:r w:rsidR="000761A7" w:rsidRPr="006C46AB">
        <w:rPr>
          <w:rFonts w:asciiTheme="majorHAnsi" w:hAnsiTheme="majorHAnsi"/>
        </w:rPr>
        <w:t>Nataro</w:t>
      </w:r>
      <w:proofErr w:type="spellEnd"/>
      <w:r w:rsidR="00C75D08" w:rsidRPr="006C46AB">
        <w:rPr>
          <w:rFonts w:asciiTheme="majorHAnsi" w:hAnsiTheme="majorHAnsi"/>
        </w:rPr>
        <w:t xml:space="preserve">, </w:t>
      </w:r>
      <w:r w:rsidR="000761A7" w:rsidRPr="006C46AB">
        <w:rPr>
          <w:rFonts w:asciiTheme="majorHAnsi" w:hAnsiTheme="majorHAnsi"/>
        </w:rPr>
        <w:t xml:space="preserve">Philip </w:t>
      </w:r>
      <w:proofErr w:type="spellStart"/>
      <w:r w:rsidR="000761A7" w:rsidRPr="006C46AB">
        <w:rPr>
          <w:rFonts w:asciiTheme="majorHAnsi" w:hAnsiTheme="majorHAnsi"/>
        </w:rPr>
        <w:t>Tarr</w:t>
      </w:r>
      <w:proofErr w:type="spellEnd"/>
      <w:r w:rsidR="000761A7" w:rsidRPr="006C46AB">
        <w:rPr>
          <w:rFonts w:asciiTheme="majorHAnsi" w:hAnsiTheme="majorHAnsi"/>
        </w:rPr>
        <w:t xml:space="preserve"> </w:t>
      </w:r>
      <w:r w:rsidR="00C75D08" w:rsidRPr="006C46AB">
        <w:rPr>
          <w:rFonts w:asciiTheme="majorHAnsi" w:hAnsiTheme="majorHAnsi"/>
        </w:rPr>
        <w:t xml:space="preserve">and Andrew Prendergast </w:t>
      </w:r>
      <w:r w:rsidR="000761A7" w:rsidRPr="006C46AB">
        <w:rPr>
          <w:rFonts w:asciiTheme="majorHAnsi" w:hAnsiTheme="majorHAnsi"/>
        </w:rPr>
        <w:t>for very helpful discussions</w:t>
      </w:r>
      <w:r w:rsidR="00870E8C" w:rsidRPr="006C46AB">
        <w:rPr>
          <w:rFonts w:asciiTheme="majorHAnsi" w:hAnsiTheme="majorHAnsi"/>
        </w:rPr>
        <w:t>.</w:t>
      </w:r>
      <w:r w:rsidR="00340164" w:rsidRPr="006C46AB">
        <w:rPr>
          <w:rFonts w:asciiTheme="majorHAnsi" w:hAnsiTheme="majorHAnsi"/>
        </w:rPr>
        <w:t xml:space="preserve"> AW was supported by BBSRC grant BB/J004529/1: The Gut Health and Food Safety ISP.</w:t>
      </w:r>
    </w:p>
    <w:p w14:paraId="3CA4D553" w14:textId="77777777" w:rsidR="00CA7EFD" w:rsidRPr="006C46AB" w:rsidRDefault="00CA7EFD" w:rsidP="0025423E">
      <w:pPr>
        <w:widowControl w:val="0"/>
        <w:spacing w:line="360" w:lineRule="auto"/>
        <w:rPr>
          <w:rFonts w:asciiTheme="majorHAnsi" w:hAnsiTheme="majorHAnsi"/>
        </w:rPr>
      </w:pPr>
    </w:p>
    <w:p w14:paraId="1ED265C2" w14:textId="4E89B6C6" w:rsidR="00CA7EFD" w:rsidRPr="00691A0B" w:rsidRDefault="00691A0B" w:rsidP="0025423E">
      <w:pPr>
        <w:widowControl w:val="0"/>
        <w:spacing w:line="360" w:lineRule="auto"/>
        <w:rPr>
          <w:rFonts w:asciiTheme="majorHAnsi" w:hAnsiTheme="majorHAnsi"/>
          <w:b/>
        </w:rPr>
      </w:pPr>
      <w:r w:rsidRPr="00691A0B">
        <w:rPr>
          <w:rFonts w:asciiTheme="majorHAnsi" w:hAnsiTheme="majorHAnsi"/>
          <w:b/>
        </w:rPr>
        <w:t>Supporting Information Legends</w:t>
      </w:r>
    </w:p>
    <w:p w14:paraId="64EF0CB2" w14:textId="77777777" w:rsidR="00691A0B" w:rsidRPr="00691A0B" w:rsidRDefault="00691A0B" w:rsidP="0025423E">
      <w:pPr>
        <w:widowControl w:val="0"/>
        <w:spacing w:line="360" w:lineRule="auto"/>
        <w:rPr>
          <w:rFonts w:asciiTheme="majorHAnsi" w:hAnsiTheme="majorHAnsi"/>
        </w:rPr>
      </w:pPr>
      <w:r w:rsidRPr="00691A0B">
        <w:rPr>
          <w:rFonts w:asciiTheme="majorHAnsi" w:hAnsiTheme="majorHAnsi"/>
          <w:b/>
        </w:rPr>
        <w:t>Figure S1</w:t>
      </w:r>
      <w:r w:rsidRPr="00691A0B">
        <w:rPr>
          <w:rFonts w:asciiTheme="majorHAnsi" w:hAnsiTheme="majorHAnsi"/>
        </w:rPr>
        <w:t xml:space="preserve"> Correlations between fluorescein leak and (A) erosions, or (B) cell shedding events</w:t>
      </w:r>
      <w:r w:rsidRPr="00691A0B">
        <w:rPr>
          <w:rFonts w:asciiTheme="majorHAnsi" w:hAnsiTheme="majorHAnsi"/>
        </w:rPr>
        <w:t xml:space="preserve"> </w:t>
      </w:r>
    </w:p>
    <w:p w14:paraId="45DE53B9" w14:textId="77777777" w:rsidR="00691A0B" w:rsidRPr="00691A0B" w:rsidRDefault="00691A0B" w:rsidP="0025423E">
      <w:pPr>
        <w:widowControl w:val="0"/>
        <w:spacing w:line="360" w:lineRule="auto"/>
        <w:rPr>
          <w:rFonts w:asciiTheme="majorHAnsi" w:hAnsiTheme="majorHAnsi"/>
        </w:rPr>
      </w:pPr>
      <w:r w:rsidRPr="00691A0B">
        <w:rPr>
          <w:rFonts w:asciiTheme="majorHAnsi" w:hAnsiTheme="majorHAnsi"/>
          <w:b/>
        </w:rPr>
        <w:t>Figure S2</w:t>
      </w:r>
      <w:r w:rsidRPr="00691A0B">
        <w:rPr>
          <w:rFonts w:asciiTheme="majorHAnsi" w:hAnsiTheme="majorHAnsi"/>
        </w:rPr>
        <w:t xml:space="preserve"> Correlation between FABP and plumes</w:t>
      </w:r>
      <w:r w:rsidRPr="00691A0B">
        <w:rPr>
          <w:rFonts w:asciiTheme="majorHAnsi" w:hAnsiTheme="majorHAnsi"/>
        </w:rPr>
        <w:t xml:space="preserve"> </w:t>
      </w:r>
    </w:p>
    <w:p w14:paraId="195423E3" w14:textId="77777777" w:rsidR="00691A0B" w:rsidRPr="00691A0B" w:rsidRDefault="00691A0B" w:rsidP="0025423E">
      <w:pPr>
        <w:widowControl w:val="0"/>
        <w:spacing w:line="360" w:lineRule="auto"/>
        <w:rPr>
          <w:rFonts w:asciiTheme="majorHAnsi" w:hAnsiTheme="majorHAnsi"/>
        </w:rPr>
      </w:pPr>
      <w:r w:rsidRPr="00691A0B">
        <w:rPr>
          <w:rFonts w:asciiTheme="majorHAnsi" w:hAnsiTheme="majorHAnsi"/>
          <w:b/>
        </w:rPr>
        <w:t>Figure S3</w:t>
      </w:r>
      <w:r w:rsidRPr="00691A0B">
        <w:rPr>
          <w:rFonts w:asciiTheme="majorHAnsi" w:hAnsiTheme="majorHAnsi"/>
        </w:rPr>
        <w:t xml:space="preserve"> Morphometric assessment. Villus height (VH) is measured at 147 </w:t>
      </w:r>
      <w:r w:rsidRPr="00691A0B">
        <w:rPr>
          <w:rFonts w:asciiTheme="majorHAnsi" w:hAnsiTheme="majorHAnsi"/>
        </w:rPr>
        <w:t>m, Crypt depth (CD) at 139</w:t>
      </w:r>
      <w:r w:rsidRPr="00691A0B">
        <w:rPr>
          <w:rFonts w:asciiTheme="majorHAnsi" w:hAnsiTheme="majorHAnsi"/>
        </w:rPr>
        <w:t></w:t>
      </w:r>
      <w:r w:rsidRPr="00691A0B">
        <w:rPr>
          <w:rFonts w:asciiTheme="majorHAnsi" w:hAnsiTheme="majorHAnsi"/>
        </w:rPr>
        <w:t>m, and Villus width at 147</w:t>
      </w:r>
      <w:r w:rsidRPr="00691A0B">
        <w:rPr>
          <w:rFonts w:asciiTheme="majorHAnsi" w:hAnsiTheme="majorHAnsi"/>
        </w:rPr>
        <w:t></w:t>
      </w:r>
      <w:r w:rsidRPr="00691A0B">
        <w:rPr>
          <w:rFonts w:asciiTheme="majorHAnsi" w:hAnsiTheme="majorHAnsi"/>
        </w:rPr>
        <w:t>m. Villus perimeter is measured at 785</w:t>
      </w:r>
      <w:r w:rsidRPr="00691A0B">
        <w:rPr>
          <w:rFonts w:asciiTheme="majorHAnsi" w:hAnsiTheme="majorHAnsi"/>
        </w:rPr>
        <w:t></w:t>
      </w:r>
      <w:r w:rsidRPr="00691A0B">
        <w:rPr>
          <w:rFonts w:asciiTheme="majorHAnsi" w:hAnsiTheme="majorHAnsi"/>
        </w:rPr>
        <w:t>m, representing epithelial surface area when the horizontal edge is subtracted, and villus cross-sectional area at 0.0181mm</w:t>
      </w:r>
      <w:r w:rsidRPr="00691A0B">
        <w:rPr>
          <w:rFonts w:asciiTheme="majorHAnsi" w:hAnsiTheme="majorHAnsi"/>
          <w:vertAlign w:val="superscript"/>
        </w:rPr>
        <w:t>2</w:t>
      </w:r>
      <w:r w:rsidRPr="00691A0B">
        <w:rPr>
          <w:rFonts w:asciiTheme="majorHAnsi" w:hAnsiTheme="majorHAnsi"/>
        </w:rPr>
        <w:t xml:space="preserve">, representing villus volume. For all </w:t>
      </w:r>
      <w:proofErr w:type="spellStart"/>
      <w:r w:rsidRPr="00691A0B">
        <w:rPr>
          <w:rFonts w:asciiTheme="majorHAnsi" w:hAnsiTheme="majorHAnsi"/>
        </w:rPr>
        <w:t>morphometry</w:t>
      </w:r>
      <w:proofErr w:type="spellEnd"/>
      <w:r w:rsidRPr="00691A0B">
        <w:rPr>
          <w:rFonts w:asciiTheme="majorHAnsi" w:hAnsiTheme="majorHAnsi"/>
        </w:rPr>
        <w:t>, it is essential that crypts are seen throughout their length so that correct orientation along the crypt-villus axis is confirmed.</w:t>
      </w:r>
    </w:p>
    <w:p w14:paraId="080067D0" w14:textId="2E220513" w:rsidR="00691A0B" w:rsidRPr="00691A0B" w:rsidRDefault="00691A0B" w:rsidP="0025423E">
      <w:pPr>
        <w:widowControl w:val="0"/>
        <w:spacing w:line="360" w:lineRule="auto"/>
        <w:rPr>
          <w:rFonts w:asciiTheme="majorHAnsi" w:hAnsiTheme="majorHAnsi"/>
        </w:rPr>
      </w:pPr>
      <w:r w:rsidRPr="00691A0B">
        <w:rPr>
          <w:rFonts w:asciiTheme="majorHAnsi" w:hAnsiTheme="majorHAnsi"/>
          <w:b/>
        </w:rPr>
        <w:t xml:space="preserve">Figure S4 </w:t>
      </w:r>
      <w:r w:rsidRPr="00691A0B">
        <w:rPr>
          <w:rFonts w:asciiTheme="majorHAnsi" w:hAnsiTheme="majorHAnsi"/>
        </w:rPr>
        <w:t xml:space="preserve">Further images of epithelial breaches identified by confocal laser </w:t>
      </w:r>
      <w:proofErr w:type="spellStart"/>
      <w:r w:rsidRPr="00691A0B">
        <w:rPr>
          <w:rFonts w:asciiTheme="majorHAnsi" w:hAnsiTheme="majorHAnsi"/>
        </w:rPr>
        <w:t>endomicroscopy</w:t>
      </w:r>
      <w:proofErr w:type="spellEnd"/>
      <w:r w:rsidRPr="00691A0B">
        <w:rPr>
          <w:rFonts w:asciiTheme="majorHAnsi" w:hAnsiTheme="majorHAnsi"/>
        </w:rPr>
        <w:t xml:space="preserve"> (A,D), </w:t>
      </w:r>
      <w:proofErr w:type="spellStart"/>
      <w:r w:rsidRPr="00691A0B">
        <w:rPr>
          <w:rFonts w:asciiTheme="majorHAnsi" w:hAnsiTheme="majorHAnsi"/>
        </w:rPr>
        <w:t>claudin</w:t>
      </w:r>
      <w:proofErr w:type="spellEnd"/>
      <w:r w:rsidRPr="00691A0B">
        <w:rPr>
          <w:rFonts w:asciiTheme="majorHAnsi" w:hAnsiTheme="majorHAnsi"/>
        </w:rPr>
        <w:t xml:space="preserve"> 4 immunostaining (B,E,G,J) and histology (C,F,H) from three individuals (A-C, D-F and G-H). No corresponding </w:t>
      </w:r>
      <w:proofErr w:type="spellStart"/>
      <w:r w:rsidRPr="00691A0B">
        <w:rPr>
          <w:rFonts w:asciiTheme="majorHAnsi" w:hAnsiTheme="majorHAnsi"/>
        </w:rPr>
        <w:t>endomicroscopy</w:t>
      </w:r>
      <w:proofErr w:type="spellEnd"/>
      <w:r w:rsidRPr="00691A0B">
        <w:rPr>
          <w:rFonts w:asciiTheme="majorHAnsi" w:hAnsiTheme="majorHAnsi"/>
        </w:rPr>
        <w:t xml:space="preserve"> image could be found in the stack of images from the third participant (G,H). In A, a plume (thick arrow) is associated with a </w:t>
      </w:r>
      <w:proofErr w:type="spellStart"/>
      <w:r w:rsidRPr="00691A0B">
        <w:rPr>
          <w:rFonts w:asciiTheme="majorHAnsi" w:hAnsiTheme="majorHAnsi"/>
        </w:rPr>
        <w:t>microerosion</w:t>
      </w:r>
      <w:proofErr w:type="spellEnd"/>
      <w:r w:rsidRPr="00691A0B">
        <w:rPr>
          <w:rFonts w:asciiTheme="majorHAnsi" w:hAnsiTheme="majorHAnsi"/>
        </w:rPr>
        <w:t xml:space="preserve"> (thin arrow), and in D a </w:t>
      </w:r>
      <w:proofErr w:type="spellStart"/>
      <w:r w:rsidRPr="00691A0B">
        <w:rPr>
          <w:rFonts w:asciiTheme="majorHAnsi" w:hAnsiTheme="majorHAnsi"/>
        </w:rPr>
        <w:t>microerosion</w:t>
      </w:r>
      <w:proofErr w:type="spellEnd"/>
      <w:r w:rsidRPr="00691A0B">
        <w:rPr>
          <w:rFonts w:asciiTheme="majorHAnsi" w:hAnsiTheme="majorHAnsi"/>
        </w:rPr>
        <w:t xml:space="preserve"> is shown (arrow). In B and E, </w:t>
      </w:r>
      <w:proofErr w:type="spellStart"/>
      <w:r w:rsidRPr="00691A0B">
        <w:rPr>
          <w:rFonts w:asciiTheme="majorHAnsi" w:hAnsiTheme="majorHAnsi"/>
        </w:rPr>
        <w:t>claudin</w:t>
      </w:r>
      <w:proofErr w:type="spellEnd"/>
      <w:r w:rsidRPr="00691A0B">
        <w:rPr>
          <w:rFonts w:asciiTheme="majorHAnsi" w:hAnsiTheme="majorHAnsi"/>
        </w:rPr>
        <w:t xml:space="preserve"> 4 immunostaining outlines early epithelial separation (arrows), also seen in C and F (arrows). In G and H epithelial separation has progressed to the point where basement membrane is exposed (arrows). In K, </w:t>
      </w:r>
      <w:proofErr w:type="spellStart"/>
      <w:r w:rsidRPr="00691A0B">
        <w:rPr>
          <w:rFonts w:asciiTheme="majorHAnsi" w:hAnsiTheme="majorHAnsi"/>
        </w:rPr>
        <w:t>claudin</w:t>
      </w:r>
      <w:proofErr w:type="spellEnd"/>
      <w:r w:rsidRPr="00691A0B">
        <w:rPr>
          <w:rFonts w:asciiTheme="majorHAnsi" w:hAnsiTheme="majorHAnsi"/>
        </w:rPr>
        <w:t xml:space="preserve"> 4 </w:t>
      </w:r>
      <w:proofErr w:type="spellStart"/>
      <w:r w:rsidRPr="00691A0B">
        <w:rPr>
          <w:rFonts w:asciiTheme="majorHAnsi" w:hAnsiTheme="majorHAnsi"/>
        </w:rPr>
        <w:t>immunoreactivity</w:t>
      </w:r>
      <w:proofErr w:type="spellEnd"/>
      <w:r w:rsidRPr="00691A0B">
        <w:rPr>
          <w:rFonts w:asciiTheme="majorHAnsi" w:hAnsiTheme="majorHAnsi"/>
        </w:rPr>
        <w:t xml:space="preserve">, from a participant with very mild enteropathy, is shown in a more normal distribution, with points of reactivity near the luminal end of the lateral intercellular space corresponding to the expected position of tight junctions (small white arrows), and some </w:t>
      </w:r>
      <w:proofErr w:type="spellStart"/>
      <w:r w:rsidRPr="00691A0B">
        <w:rPr>
          <w:rFonts w:asciiTheme="majorHAnsi" w:hAnsiTheme="majorHAnsi"/>
        </w:rPr>
        <w:t>basolateral</w:t>
      </w:r>
      <w:proofErr w:type="spellEnd"/>
      <w:r w:rsidRPr="00691A0B">
        <w:rPr>
          <w:rFonts w:asciiTheme="majorHAnsi" w:hAnsiTheme="majorHAnsi"/>
        </w:rPr>
        <w:t xml:space="preserve"> staining near the villus tip at another point of cell shedding (green arrow).</w:t>
      </w:r>
    </w:p>
    <w:p w14:paraId="6A296C10" w14:textId="78707636" w:rsidR="00691A0B" w:rsidRPr="00691A0B" w:rsidRDefault="00691A0B" w:rsidP="0025423E">
      <w:pPr>
        <w:widowControl w:val="0"/>
        <w:spacing w:line="360" w:lineRule="auto"/>
        <w:rPr>
          <w:rFonts w:asciiTheme="majorHAnsi" w:hAnsiTheme="majorHAnsi"/>
        </w:rPr>
      </w:pPr>
      <w:r w:rsidRPr="00691A0B">
        <w:rPr>
          <w:rFonts w:asciiTheme="majorHAnsi" w:hAnsiTheme="majorHAnsi"/>
          <w:b/>
        </w:rPr>
        <w:t>Figure S5</w:t>
      </w:r>
      <w:r w:rsidRPr="00691A0B">
        <w:rPr>
          <w:rFonts w:asciiTheme="majorHAnsi" w:hAnsiTheme="majorHAnsi"/>
        </w:rPr>
        <w:t xml:space="preserve"> Scatter plot of log-transformed change in zinc uptake and GLP-2 concentration (</w:t>
      </w:r>
      <w:r w:rsidRPr="00691A0B">
        <w:rPr>
          <w:rFonts w:asciiTheme="majorHAnsi" w:hAnsiTheme="majorHAnsi"/>
        </w:rPr>
        <w:t xml:space="preserve"> = 0.12; </w:t>
      </w:r>
      <w:r w:rsidRPr="00691A0B">
        <w:rPr>
          <w:rFonts w:asciiTheme="majorHAnsi" w:hAnsiTheme="majorHAnsi"/>
          <w:i/>
        </w:rPr>
        <w:t>P</w:t>
      </w:r>
      <w:r w:rsidRPr="00691A0B">
        <w:rPr>
          <w:rFonts w:asciiTheme="majorHAnsi" w:hAnsiTheme="majorHAnsi"/>
        </w:rPr>
        <w:t xml:space="preserve"> = 0.02 in the multivariate model).</w:t>
      </w:r>
    </w:p>
    <w:p w14:paraId="0D73DD79" w14:textId="523E1A95" w:rsidR="00691A0B" w:rsidRPr="00691A0B" w:rsidRDefault="00691A0B" w:rsidP="0025423E">
      <w:pPr>
        <w:widowControl w:val="0"/>
        <w:spacing w:line="360" w:lineRule="auto"/>
        <w:rPr>
          <w:rFonts w:asciiTheme="majorHAnsi" w:hAnsiTheme="majorHAnsi"/>
        </w:rPr>
      </w:pPr>
      <w:r w:rsidRPr="00691A0B">
        <w:rPr>
          <w:rFonts w:asciiTheme="majorHAnsi" w:hAnsiTheme="majorHAnsi"/>
          <w:b/>
        </w:rPr>
        <w:t xml:space="preserve">Figure S6 </w:t>
      </w:r>
      <w:r w:rsidRPr="00691A0B">
        <w:rPr>
          <w:rFonts w:asciiTheme="majorHAnsi" w:hAnsiTheme="majorHAnsi"/>
        </w:rPr>
        <w:t xml:space="preserve">TFF3 immunostaining showing good </w:t>
      </w:r>
      <w:proofErr w:type="spellStart"/>
      <w:r w:rsidRPr="00691A0B">
        <w:rPr>
          <w:rFonts w:asciiTheme="majorHAnsi" w:hAnsiTheme="majorHAnsi"/>
        </w:rPr>
        <w:t>immunoreactivity</w:t>
      </w:r>
      <w:proofErr w:type="spellEnd"/>
      <w:r w:rsidRPr="00691A0B">
        <w:rPr>
          <w:rFonts w:asciiTheme="majorHAnsi" w:hAnsiTheme="majorHAnsi"/>
        </w:rPr>
        <w:t xml:space="preserve"> in goblet cells</w:t>
      </w:r>
    </w:p>
    <w:p w14:paraId="116F3D5F" w14:textId="77777777" w:rsidR="00691A0B" w:rsidRPr="00691A0B" w:rsidRDefault="00691A0B" w:rsidP="00691A0B">
      <w:pPr>
        <w:rPr>
          <w:rFonts w:asciiTheme="majorHAnsi" w:hAnsiTheme="majorHAnsi"/>
        </w:rPr>
      </w:pPr>
      <w:r w:rsidRPr="00691A0B">
        <w:rPr>
          <w:rFonts w:asciiTheme="majorHAnsi" w:hAnsiTheme="majorHAnsi"/>
          <w:b/>
        </w:rPr>
        <w:t>Figure S7</w:t>
      </w:r>
      <w:r w:rsidRPr="00691A0B">
        <w:rPr>
          <w:rFonts w:asciiTheme="majorHAnsi" w:hAnsiTheme="majorHAnsi"/>
        </w:rPr>
        <w:t xml:space="preserve"> Normal images of duodenum using confocal laser </w:t>
      </w:r>
      <w:proofErr w:type="spellStart"/>
      <w:r w:rsidRPr="00691A0B">
        <w:rPr>
          <w:rFonts w:asciiTheme="majorHAnsi" w:hAnsiTheme="majorHAnsi"/>
        </w:rPr>
        <w:t>endomicroscopy</w:t>
      </w:r>
      <w:proofErr w:type="spellEnd"/>
    </w:p>
    <w:p w14:paraId="52238A90" w14:textId="77777777" w:rsidR="00691A0B" w:rsidRPr="00691A0B" w:rsidRDefault="00691A0B" w:rsidP="0025423E">
      <w:pPr>
        <w:widowControl w:val="0"/>
        <w:spacing w:line="360" w:lineRule="auto"/>
        <w:rPr>
          <w:rFonts w:asciiTheme="majorHAnsi" w:hAnsiTheme="majorHAnsi"/>
        </w:rPr>
      </w:pPr>
    </w:p>
    <w:p w14:paraId="2E9CA8DA" w14:textId="4BF16D71" w:rsidR="003123FC" w:rsidRPr="00691A0B" w:rsidRDefault="003123FC" w:rsidP="0025423E">
      <w:pPr>
        <w:widowControl w:val="0"/>
        <w:spacing w:line="360" w:lineRule="auto"/>
        <w:rPr>
          <w:rFonts w:asciiTheme="majorHAnsi" w:hAnsiTheme="majorHAnsi"/>
        </w:rPr>
      </w:pPr>
      <w:r w:rsidRPr="00691A0B">
        <w:rPr>
          <w:rFonts w:asciiTheme="majorHAnsi" w:hAnsiTheme="majorHAnsi"/>
          <w:sz w:val="32"/>
        </w:rPr>
        <w:br w:type="page"/>
      </w:r>
    </w:p>
    <w:p w14:paraId="4B0678E1" w14:textId="3562E055" w:rsidR="003123FC" w:rsidRPr="006C46AB" w:rsidRDefault="003123FC" w:rsidP="0025423E">
      <w:pPr>
        <w:widowControl w:val="0"/>
        <w:spacing w:line="360" w:lineRule="auto"/>
        <w:rPr>
          <w:rFonts w:asciiTheme="majorHAnsi" w:hAnsiTheme="majorHAnsi"/>
          <w:b/>
        </w:rPr>
      </w:pPr>
      <w:r w:rsidRPr="006C46AB">
        <w:rPr>
          <w:rFonts w:asciiTheme="majorHAnsi" w:hAnsiTheme="majorHAnsi"/>
          <w:b/>
        </w:rPr>
        <w:t>References</w:t>
      </w:r>
    </w:p>
    <w:p w14:paraId="6548BD79" w14:textId="56B2A4B3" w:rsidR="00B938FE" w:rsidRPr="006C46AB" w:rsidRDefault="00B938FE" w:rsidP="0025423E">
      <w:pPr>
        <w:widowControl w:val="0"/>
        <w:spacing w:line="360" w:lineRule="auto"/>
        <w:rPr>
          <w:rFonts w:asciiTheme="majorHAnsi" w:hAnsiTheme="majorHAnsi"/>
          <w:sz w:val="20"/>
          <w:szCs w:val="20"/>
        </w:rPr>
      </w:pPr>
      <w:r w:rsidRPr="006C46AB">
        <w:rPr>
          <w:rFonts w:asciiTheme="majorHAnsi" w:hAnsiTheme="majorHAnsi"/>
          <w:sz w:val="20"/>
          <w:szCs w:val="20"/>
        </w:rPr>
        <w:t>1 Cook GC. Malabsorption in the tropics. In: Cook GC, ed., Tropical Gastroenterology. Oxford: Oxford University Press, 1980.</w:t>
      </w:r>
    </w:p>
    <w:p w14:paraId="4D0BC3FE" w14:textId="77777777" w:rsidR="00B938FE" w:rsidRPr="006C46AB" w:rsidRDefault="00B938FE" w:rsidP="0025423E">
      <w:pPr>
        <w:widowControl w:val="0"/>
        <w:spacing w:line="360" w:lineRule="auto"/>
        <w:rPr>
          <w:rFonts w:asciiTheme="majorHAnsi" w:hAnsiTheme="majorHAnsi"/>
          <w:sz w:val="20"/>
          <w:szCs w:val="20"/>
        </w:rPr>
      </w:pPr>
    </w:p>
    <w:p w14:paraId="6B324D02" w14:textId="40C85748" w:rsidR="00217646" w:rsidRPr="006C46AB" w:rsidRDefault="00B938FE" w:rsidP="0025423E">
      <w:pPr>
        <w:widowControl w:val="0"/>
        <w:spacing w:line="360" w:lineRule="auto"/>
        <w:rPr>
          <w:rFonts w:asciiTheme="majorHAnsi" w:hAnsiTheme="majorHAnsi"/>
          <w:sz w:val="20"/>
          <w:szCs w:val="20"/>
        </w:rPr>
      </w:pPr>
      <w:r w:rsidRPr="006C46AB">
        <w:rPr>
          <w:rFonts w:asciiTheme="majorHAnsi" w:hAnsiTheme="majorHAnsi"/>
          <w:sz w:val="20"/>
          <w:szCs w:val="20"/>
        </w:rPr>
        <w:t xml:space="preserve">2 </w:t>
      </w:r>
      <w:proofErr w:type="spellStart"/>
      <w:r w:rsidR="00A0494D" w:rsidRPr="006C46AB">
        <w:rPr>
          <w:rFonts w:asciiTheme="majorHAnsi" w:hAnsiTheme="majorHAnsi"/>
          <w:sz w:val="20"/>
          <w:szCs w:val="20"/>
        </w:rPr>
        <w:t>Keusch</w:t>
      </w:r>
      <w:proofErr w:type="spellEnd"/>
      <w:r w:rsidR="00A0494D" w:rsidRPr="006C46AB">
        <w:rPr>
          <w:rFonts w:asciiTheme="majorHAnsi" w:hAnsiTheme="majorHAnsi"/>
          <w:sz w:val="20"/>
          <w:szCs w:val="20"/>
        </w:rPr>
        <w:t xml:space="preserve"> GT, </w:t>
      </w:r>
      <w:proofErr w:type="spellStart"/>
      <w:r w:rsidR="00A0494D" w:rsidRPr="006C46AB">
        <w:rPr>
          <w:rFonts w:asciiTheme="majorHAnsi" w:hAnsiTheme="majorHAnsi"/>
          <w:sz w:val="20"/>
          <w:szCs w:val="20"/>
        </w:rPr>
        <w:t>Denno</w:t>
      </w:r>
      <w:proofErr w:type="spellEnd"/>
      <w:r w:rsidR="00A0494D" w:rsidRPr="006C46AB">
        <w:rPr>
          <w:rFonts w:asciiTheme="majorHAnsi" w:hAnsiTheme="majorHAnsi"/>
          <w:sz w:val="20"/>
          <w:szCs w:val="20"/>
        </w:rPr>
        <w:t xml:space="preserve"> DM, Black RE</w:t>
      </w:r>
      <w:r w:rsidR="00217646" w:rsidRPr="006C46AB">
        <w:rPr>
          <w:rFonts w:asciiTheme="majorHAnsi" w:hAnsiTheme="majorHAnsi"/>
          <w:sz w:val="20"/>
          <w:szCs w:val="20"/>
        </w:rPr>
        <w:t xml:space="preserve">, </w:t>
      </w:r>
      <w:r w:rsidR="00A0494D" w:rsidRPr="006C46AB">
        <w:rPr>
          <w:rFonts w:asciiTheme="majorHAnsi" w:hAnsiTheme="majorHAnsi"/>
          <w:sz w:val="20"/>
          <w:szCs w:val="20"/>
        </w:rPr>
        <w:t>et al</w:t>
      </w:r>
      <w:r w:rsidR="00596262" w:rsidRPr="006C46AB">
        <w:rPr>
          <w:rFonts w:asciiTheme="majorHAnsi" w:hAnsiTheme="majorHAnsi"/>
          <w:sz w:val="20"/>
          <w:szCs w:val="20"/>
        </w:rPr>
        <w:t xml:space="preserve">. </w:t>
      </w:r>
      <w:r w:rsidR="00217646" w:rsidRPr="006C46AB">
        <w:rPr>
          <w:rFonts w:asciiTheme="majorHAnsi" w:hAnsiTheme="majorHAnsi"/>
          <w:sz w:val="20"/>
          <w:szCs w:val="20"/>
        </w:rPr>
        <w:t>Environmental Enteric Dysfunction:</w:t>
      </w:r>
      <w:r w:rsidR="00596262" w:rsidRPr="006C46AB">
        <w:rPr>
          <w:rFonts w:asciiTheme="majorHAnsi" w:hAnsiTheme="majorHAnsi"/>
          <w:sz w:val="20"/>
          <w:szCs w:val="20"/>
        </w:rPr>
        <w:t xml:space="preserve"> </w:t>
      </w:r>
      <w:r w:rsidR="00217646" w:rsidRPr="006C46AB">
        <w:rPr>
          <w:rFonts w:asciiTheme="majorHAnsi" w:hAnsiTheme="majorHAnsi"/>
          <w:sz w:val="20"/>
          <w:szCs w:val="20"/>
        </w:rPr>
        <w:t>Pathogenesis, Diagnosis, and Clinical</w:t>
      </w:r>
      <w:r w:rsidR="00596262" w:rsidRPr="006C46AB">
        <w:rPr>
          <w:rFonts w:asciiTheme="majorHAnsi" w:hAnsiTheme="majorHAnsi"/>
          <w:sz w:val="20"/>
          <w:szCs w:val="20"/>
        </w:rPr>
        <w:t xml:space="preserve"> </w:t>
      </w:r>
      <w:r w:rsidR="00217646" w:rsidRPr="006C46AB">
        <w:rPr>
          <w:rFonts w:asciiTheme="majorHAnsi" w:hAnsiTheme="majorHAnsi"/>
          <w:sz w:val="20"/>
          <w:szCs w:val="20"/>
        </w:rPr>
        <w:t>Consequences</w:t>
      </w:r>
      <w:r w:rsidR="00596262" w:rsidRPr="006C46AB">
        <w:rPr>
          <w:rFonts w:asciiTheme="majorHAnsi" w:hAnsiTheme="majorHAnsi"/>
          <w:sz w:val="20"/>
          <w:szCs w:val="20"/>
        </w:rPr>
        <w:t xml:space="preserve">. </w:t>
      </w:r>
      <w:proofErr w:type="spellStart"/>
      <w:r w:rsidR="00596262" w:rsidRPr="006C46AB">
        <w:rPr>
          <w:rFonts w:asciiTheme="majorHAnsi" w:hAnsiTheme="majorHAnsi"/>
          <w:sz w:val="20"/>
          <w:szCs w:val="20"/>
        </w:rPr>
        <w:t>Clin</w:t>
      </w:r>
      <w:proofErr w:type="spellEnd"/>
      <w:r w:rsidR="00596262" w:rsidRPr="006C46AB">
        <w:rPr>
          <w:rFonts w:asciiTheme="majorHAnsi" w:hAnsiTheme="majorHAnsi"/>
          <w:sz w:val="20"/>
          <w:szCs w:val="20"/>
        </w:rPr>
        <w:t xml:space="preserve"> Infect Dis 2014; </w:t>
      </w:r>
      <w:r w:rsidR="00283F54" w:rsidRPr="006C46AB">
        <w:rPr>
          <w:rFonts w:asciiTheme="majorHAnsi" w:hAnsiTheme="majorHAnsi" w:cs="Times New Roman"/>
          <w:sz w:val="20"/>
          <w:szCs w:val="20"/>
          <w:lang w:val="en-US"/>
        </w:rPr>
        <w:t>59</w:t>
      </w:r>
      <w:r w:rsidR="00596262" w:rsidRPr="006C46AB">
        <w:rPr>
          <w:rFonts w:asciiTheme="majorHAnsi" w:hAnsiTheme="majorHAnsi" w:cs="Times New Roman"/>
          <w:sz w:val="20"/>
          <w:szCs w:val="20"/>
          <w:lang w:val="en-US"/>
        </w:rPr>
        <w:t>:</w:t>
      </w:r>
      <w:r w:rsidR="00283F54" w:rsidRPr="006C46AB">
        <w:rPr>
          <w:rFonts w:asciiTheme="majorHAnsi" w:hAnsiTheme="majorHAnsi" w:cs="Times New Roman"/>
          <w:sz w:val="20"/>
          <w:szCs w:val="20"/>
          <w:lang w:val="en-US"/>
        </w:rPr>
        <w:t xml:space="preserve"> </w:t>
      </w:r>
      <w:r w:rsidR="00596262" w:rsidRPr="006C46AB">
        <w:rPr>
          <w:rFonts w:asciiTheme="majorHAnsi" w:hAnsiTheme="majorHAnsi" w:cs="Times New Roman"/>
          <w:sz w:val="20"/>
          <w:szCs w:val="20"/>
          <w:lang w:val="en-US"/>
        </w:rPr>
        <w:t>S207–12.</w:t>
      </w:r>
      <w:r w:rsidR="00596262" w:rsidRPr="006C46AB">
        <w:rPr>
          <w:rFonts w:ascii="Times New Roman" w:hAnsi="Times New Roman" w:cs="Times New Roman"/>
          <w:sz w:val="20"/>
          <w:szCs w:val="20"/>
          <w:lang w:val="en-US"/>
        </w:rPr>
        <w:t xml:space="preserve"> </w:t>
      </w:r>
    </w:p>
    <w:p w14:paraId="7EF0C8B2" w14:textId="75FFA831" w:rsidR="00950C5D" w:rsidRPr="006C46AB" w:rsidRDefault="00950C5D" w:rsidP="0025423E">
      <w:pPr>
        <w:widowControl w:val="0"/>
        <w:spacing w:line="360" w:lineRule="auto"/>
        <w:rPr>
          <w:rFonts w:asciiTheme="majorHAnsi" w:hAnsiTheme="majorHAnsi"/>
          <w:sz w:val="20"/>
          <w:szCs w:val="20"/>
        </w:rPr>
      </w:pPr>
    </w:p>
    <w:p w14:paraId="58C3FF60" w14:textId="327E851E" w:rsidR="0065301C" w:rsidRPr="006C46AB" w:rsidRDefault="0065301C" w:rsidP="0025423E">
      <w:pPr>
        <w:widowControl w:val="0"/>
        <w:spacing w:line="360" w:lineRule="auto"/>
        <w:rPr>
          <w:rFonts w:asciiTheme="majorHAnsi" w:hAnsiTheme="majorHAnsi"/>
          <w:sz w:val="20"/>
          <w:szCs w:val="20"/>
        </w:rPr>
      </w:pPr>
      <w:r w:rsidRPr="006C46AB">
        <w:rPr>
          <w:rFonts w:asciiTheme="majorHAnsi" w:hAnsiTheme="majorHAnsi"/>
          <w:sz w:val="20"/>
          <w:szCs w:val="20"/>
        </w:rPr>
        <w:t xml:space="preserve">3 </w:t>
      </w:r>
      <w:r w:rsidR="00E23C41" w:rsidRPr="006C46AB">
        <w:rPr>
          <w:rFonts w:asciiTheme="majorHAnsi" w:hAnsiTheme="majorHAnsi"/>
          <w:spacing w:val="-3"/>
          <w:sz w:val="20"/>
          <w:szCs w:val="20"/>
        </w:rPr>
        <w:t xml:space="preserve">Prendergast A, Kelly P. </w:t>
      </w:r>
      <w:proofErr w:type="spellStart"/>
      <w:r w:rsidR="00E23C41" w:rsidRPr="006C46AB">
        <w:rPr>
          <w:rFonts w:asciiTheme="majorHAnsi" w:hAnsiTheme="majorHAnsi"/>
          <w:spacing w:val="-3"/>
          <w:sz w:val="20"/>
          <w:szCs w:val="20"/>
        </w:rPr>
        <w:t>Enteropathies</w:t>
      </w:r>
      <w:proofErr w:type="spellEnd"/>
      <w:r w:rsidR="00E23C41" w:rsidRPr="006C46AB">
        <w:rPr>
          <w:rFonts w:asciiTheme="majorHAnsi" w:hAnsiTheme="majorHAnsi"/>
          <w:spacing w:val="-3"/>
          <w:sz w:val="20"/>
          <w:szCs w:val="20"/>
        </w:rPr>
        <w:t xml:space="preserve"> in the developing world; neglected effects on global health. Am J Trop Med </w:t>
      </w:r>
      <w:proofErr w:type="spellStart"/>
      <w:r w:rsidR="00E23C41" w:rsidRPr="006C46AB">
        <w:rPr>
          <w:rFonts w:asciiTheme="majorHAnsi" w:hAnsiTheme="majorHAnsi"/>
          <w:spacing w:val="-3"/>
          <w:sz w:val="20"/>
          <w:szCs w:val="20"/>
        </w:rPr>
        <w:t>Hyg</w:t>
      </w:r>
      <w:proofErr w:type="spellEnd"/>
      <w:r w:rsidR="00E23C41" w:rsidRPr="006C46AB">
        <w:rPr>
          <w:rFonts w:asciiTheme="majorHAnsi" w:hAnsiTheme="majorHAnsi"/>
          <w:spacing w:val="-3"/>
          <w:sz w:val="20"/>
          <w:szCs w:val="20"/>
        </w:rPr>
        <w:t xml:space="preserve"> 2012; 86: 756-763.</w:t>
      </w:r>
    </w:p>
    <w:p w14:paraId="7228DFC9" w14:textId="77777777" w:rsidR="0065301C" w:rsidRPr="006C46AB" w:rsidRDefault="0065301C" w:rsidP="0025423E">
      <w:pPr>
        <w:widowControl w:val="0"/>
        <w:spacing w:line="360" w:lineRule="auto"/>
        <w:rPr>
          <w:rFonts w:asciiTheme="majorHAnsi" w:hAnsiTheme="majorHAnsi"/>
          <w:sz w:val="20"/>
          <w:szCs w:val="20"/>
        </w:rPr>
      </w:pPr>
    </w:p>
    <w:p w14:paraId="3A37B17F" w14:textId="77777777" w:rsidR="00E23C41" w:rsidRPr="006C46AB" w:rsidRDefault="0065301C" w:rsidP="0025423E">
      <w:pPr>
        <w:widowControl w:val="0"/>
        <w:spacing w:line="360" w:lineRule="auto"/>
        <w:rPr>
          <w:rFonts w:asciiTheme="majorHAnsi" w:hAnsiTheme="majorHAnsi"/>
          <w:sz w:val="20"/>
          <w:szCs w:val="20"/>
        </w:rPr>
      </w:pPr>
      <w:r w:rsidRPr="006C46AB">
        <w:rPr>
          <w:rFonts w:asciiTheme="majorHAnsi" w:hAnsiTheme="majorHAnsi"/>
          <w:sz w:val="20"/>
          <w:szCs w:val="20"/>
        </w:rPr>
        <w:t xml:space="preserve">4 </w:t>
      </w:r>
      <w:proofErr w:type="spellStart"/>
      <w:r w:rsidRPr="006C46AB">
        <w:rPr>
          <w:rFonts w:asciiTheme="majorHAnsi" w:hAnsiTheme="majorHAnsi"/>
          <w:sz w:val="20"/>
          <w:szCs w:val="20"/>
        </w:rPr>
        <w:t>Guerrant</w:t>
      </w:r>
      <w:proofErr w:type="spellEnd"/>
      <w:r w:rsidRPr="006C46AB">
        <w:rPr>
          <w:rFonts w:asciiTheme="majorHAnsi" w:hAnsiTheme="majorHAnsi"/>
          <w:sz w:val="20"/>
          <w:szCs w:val="20"/>
        </w:rPr>
        <w:t xml:space="preserve"> RL, </w:t>
      </w:r>
      <w:proofErr w:type="spellStart"/>
      <w:r w:rsidR="00E23C41" w:rsidRPr="006C46AB">
        <w:rPr>
          <w:rFonts w:asciiTheme="majorHAnsi" w:hAnsiTheme="majorHAnsi"/>
          <w:sz w:val="20"/>
          <w:szCs w:val="20"/>
        </w:rPr>
        <w:t>DeBoer</w:t>
      </w:r>
      <w:proofErr w:type="spellEnd"/>
      <w:r w:rsidR="00E23C41" w:rsidRPr="006C46AB">
        <w:rPr>
          <w:rFonts w:asciiTheme="majorHAnsi" w:hAnsiTheme="majorHAnsi"/>
          <w:sz w:val="20"/>
          <w:szCs w:val="20"/>
        </w:rPr>
        <w:t xml:space="preserve"> MD, Moore SR, </w:t>
      </w:r>
      <w:proofErr w:type="spellStart"/>
      <w:r w:rsidR="00E23C41" w:rsidRPr="006C46AB">
        <w:rPr>
          <w:rFonts w:asciiTheme="majorHAnsi" w:hAnsiTheme="majorHAnsi"/>
          <w:sz w:val="20"/>
          <w:szCs w:val="20"/>
        </w:rPr>
        <w:t>Scharf</w:t>
      </w:r>
      <w:proofErr w:type="spellEnd"/>
      <w:r w:rsidR="00E23C41" w:rsidRPr="006C46AB">
        <w:rPr>
          <w:rFonts w:asciiTheme="majorHAnsi" w:hAnsiTheme="majorHAnsi"/>
          <w:sz w:val="20"/>
          <w:szCs w:val="20"/>
        </w:rPr>
        <w:t xml:space="preserve"> RJ, Lima AAM. The impoverished gut—a triple burden</w:t>
      </w:r>
    </w:p>
    <w:p w14:paraId="6292089B" w14:textId="4D0F2A59" w:rsidR="0065301C" w:rsidRPr="006C46AB" w:rsidRDefault="00E23C41" w:rsidP="0025423E">
      <w:pPr>
        <w:widowControl w:val="0"/>
        <w:spacing w:line="360" w:lineRule="auto"/>
        <w:rPr>
          <w:rFonts w:asciiTheme="majorHAnsi" w:hAnsiTheme="majorHAnsi"/>
          <w:sz w:val="20"/>
          <w:szCs w:val="20"/>
        </w:rPr>
      </w:pPr>
      <w:r w:rsidRPr="006C46AB">
        <w:rPr>
          <w:rFonts w:asciiTheme="majorHAnsi" w:hAnsiTheme="majorHAnsi"/>
          <w:sz w:val="20"/>
          <w:szCs w:val="20"/>
        </w:rPr>
        <w:t xml:space="preserve">of diarrhoea, stunting and chronic disease. Nat Rev </w:t>
      </w:r>
      <w:proofErr w:type="spellStart"/>
      <w:r w:rsidRPr="006C46AB">
        <w:rPr>
          <w:rFonts w:asciiTheme="majorHAnsi" w:hAnsiTheme="majorHAnsi"/>
          <w:sz w:val="20"/>
          <w:szCs w:val="20"/>
        </w:rPr>
        <w:t>Gastroenterol</w:t>
      </w:r>
      <w:proofErr w:type="spellEnd"/>
      <w:r w:rsidRPr="006C46AB">
        <w:rPr>
          <w:rFonts w:asciiTheme="majorHAnsi" w:hAnsiTheme="majorHAnsi"/>
          <w:sz w:val="20"/>
          <w:szCs w:val="20"/>
        </w:rPr>
        <w:t xml:space="preserve"> </w:t>
      </w:r>
      <w:proofErr w:type="spellStart"/>
      <w:r w:rsidRPr="006C46AB">
        <w:rPr>
          <w:rFonts w:asciiTheme="majorHAnsi" w:hAnsiTheme="majorHAnsi"/>
          <w:sz w:val="20"/>
          <w:szCs w:val="20"/>
        </w:rPr>
        <w:t>Hepatol</w:t>
      </w:r>
      <w:proofErr w:type="spellEnd"/>
      <w:r w:rsidRPr="006C46AB">
        <w:rPr>
          <w:rFonts w:asciiTheme="majorHAnsi" w:hAnsiTheme="majorHAnsi"/>
          <w:sz w:val="20"/>
          <w:szCs w:val="20"/>
        </w:rPr>
        <w:t xml:space="preserve"> 2013; 10, 220–229.</w:t>
      </w:r>
    </w:p>
    <w:p w14:paraId="17610883" w14:textId="77777777" w:rsidR="0065301C" w:rsidRPr="006C46AB" w:rsidRDefault="0065301C" w:rsidP="0025423E">
      <w:pPr>
        <w:widowControl w:val="0"/>
        <w:spacing w:line="360" w:lineRule="auto"/>
        <w:rPr>
          <w:rFonts w:asciiTheme="majorHAnsi" w:hAnsiTheme="majorHAnsi"/>
          <w:sz w:val="20"/>
          <w:szCs w:val="20"/>
        </w:rPr>
      </w:pPr>
    </w:p>
    <w:p w14:paraId="17DF6504" w14:textId="77777777" w:rsidR="00C416E5" w:rsidRPr="006C46AB" w:rsidRDefault="00C416E5" w:rsidP="00C416E5">
      <w:pPr>
        <w:widowControl w:val="0"/>
        <w:autoSpaceDE w:val="0"/>
        <w:autoSpaceDN w:val="0"/>
        <w:adjustRightInd w:val="0"/>
        <w:spacing w:line="360" w:lineRule="auto"/>
        <w:rPr>
          <w:rFonts w:asciiTheme="majorHAnsi" w:hAnsiTheme="majorHAnsi"/>
          <w:sz w:val="20"/>
          <w:szCs w:val="20"/>
        </w:rPr>
      </w:pPr>
      <w:r w:rsidRPr="006C46AB">
        <w:rPr>
          <w:rFonts w:asciiTheme="majorHAnsi" w:hAnsiTheme="majorHAnsi"/>
          <w:sz w:val="20"/>
          <w:szCs w:val="20"/>
        </w:rPr>
        <w:t xml:space="preserve">5 </w:t>
      </w:r>
      <w:r w:rsidRPr="006C46AB">
        <w:rPr>
          <w:rFonts w:asciiTheme="majorHAnsi" w:hAnsiTheme="majorHAnsi" w:cs="Times New Roman"/>
          <w:sz w:val="20"/>
          <w:szCs w:val="20"/>
          <w:lang w:val="en-US"/>
        </w:rPr>
        <w:t>Central Statistical Office (CSO), Ministry of Health (MOH), Tropical Diseases Research Centre (TDRC), University of Zambia, and Macro International Inc. 2015. Zambia Demographic and Health Survey 2014. Calverton, Maryland, USA: CSO and Macro International Inc.</w:t>
      </w:r>
    </w:p>
    <w:p w14:paraId="7032F5C2" w14:textId="77777777" w:rsidR="00C416E5" w:rsidRPr="006C46AB" w:rsidRDefault="00C416E5" w:rsidP="00C416E5">
      <w:pPr>
        <w:widowControl w:val="0"/>
        <w:spacing w:line="360" w:lineRule="auto"/>
        <w:rPr>
          <w:rFonts w:asciiTheme="majorHAnsi" w:hAnsiTheme="majorHAnsi"/>
          <w:sz w:val="20"/>
          <w:szCs w:val="20"/>
        </w:rPr>
      </w:pPr>
    </w:p>
    <w:p w14:paraId="3CDED4AB" w14:textId="67543FDE" w:rsidR="0065301C" w:rsidRPr="006C46AB" w:rsidRDefault="00C416E5" w:rsidP="0025423E">
      <w:pPr>
        <w:widowControl w:val="0"/>
        <w:autoSpaceDE w:val="0"/>
        <w:autoSpaceDN w:val="0"/>
        <w:adjustRightInd w:val="0"/>
        <w:spacing w:line="360" w:lineRule="auto"/>
        <w:rPr>
          <w:rFonts w:asciiTheme="majorHAnsi" w:hAnsiTheme="majorHAnsi"/>
          <w:sz w:val="20"/>
          <w:szCs w:val="20"/>
        </w:rPr>
      </w:pPr>
      <w:r w:rsidRPr="006C46AB">
        <w:rPr>
          <w:rFonts w:asciiTheme="majorHAnsi" w:hAnsiTheme="majorHAnsi"/>
          <w:sz w:val="20"/>
          <w:szCs w:val="20"/>
        </w:rPr>
        <w:t>6</w:t>
      </w:r>
      <w:r w:rsidR="0065301C" w:rsidRPr="006C46AB">
        <w:rPr>
          <w:rFonts w:asciiTheme="majorHAnsi" w:hAnsiTheme="majorHAnsi"/>
          <w:sz w:val="20"/>
          <w:szCs w:val="20"/>
        </w:rPr>
        <w:t xml:space="preserve"> Humphrey JH. </w:t>
      </w:r>
      <w:r w:rsidR="0065301C" w:rsidRPr="006C46AB">
        <w:rPr>
          <w:rFonts w:asciiTheme="majorHAnsi" w:hAnsiTheme="majorHAnsi" w:cs="Times New Roman"/>
          <w:color w:val="231F20"/>
          <w:sz w:val="20"/>
          <w:szCs w:val="20"/>
          <w:lang w:val="en-US"/>
        </w:rPr>
        <w:t xml:space="preserve">Child </w:t>
      </w:r>
      <w:proofErr w:type="spellStart"/>
      <w:r w:rsidR="0065301C" w:rsidRPr="006C46AB">
        <w:rPr>
          <w:rFonts w:asciiTheme="majorHAnsi" w:hAnsiTheme="majorHAnsi" w:cs="Times New Roman"/>
          <w:color w:val="231F20"/>
          <w:sz w:val="20"/>
          <w:szCs w:val="20"/>
          <w:lang w:val="en-US"/>
        </w:rPr>
        <w:t>undernutrition</w:t>
      </w:r>
      <w:proofErr w:type="spellEnd"/>
      <w:r w:rsidR="0065301C" w:rsidRPr="006C46AB">
        <w:rPr>
          <w:rFonts w:asciiTheme="majorHAnsi" w:hAnsiTheme="majorHAnsi" w:cs="Times New Roman"/>
          <w:color w:val="231F20"/>
          <w:sz w:val="20"/>
          <w:szCs w:val="20"/>
          <w:lang w:val="en-US"/>
        </w:rPr>
        <w:t xml:space="preserve">, tropical enteropathy, toilets, and </w:t>
      </w:r>
      <w:proofErr w:type="spellStart"/>
      <w:r w:rsidR="0065301C" w:rsidRPr="006C46AB">
        <w:rPr>
          <w:rFonts w:asciiTheme="majorHAnsi" w:hAnsiTheme="majorHAnsi" w:cs="Times New Roman"/>
          <w:color w:val="231F20"/>
          <w:sz w:val="20"/>
          <w:szCs w:val="20"/>
          <w:lang w:val="en-US"/>
        </w:rPr>
        <w:t>handwashing</w:t>
      </w:r>
      <w:proofErr w:type="spellEnd"/>
      <w:r w:rsidR="0065301C" w:rsidRPr="006C46AB">
        <w:rPr>
          <w:rFonts w:asciiTheme="majorHAnsi" w:hAnsiTheme="majorHAnsi" w:cs="Times New Roman"/>
          <w:color w:val="231F20"/>
          <w:sz w:val="20"/>
          <w:szCs w:val="20"/>
          <w:lang w:val="en-US"/>
        </w:rPr>
        <w:t xml:space="preserve">. Lancet </w:t>
      </w:r>
      <w:r w:rsidR="0065301C" w:rsidRPr="006C46AB">
        <w:rPr>
          <w:rFonts w:asciiTheme="majorHAnsi" w:hAnsiTheme="majorHAnsi" w:cs="Times New Roman"/>
          <w:sz w:val="20"/>
          <w:szCs w:val="20"/>
          <w:lang w:val="en-US"/>
        </w:rPr>
        <w:t>2009; 374: 1032–35.</w:t>
      </w:r>
    </w:p>
    <w:p w14:paraId="4B9189CD" w14:textId="77777777" w:rsidR="0065301C" w:rsidRPr="006C46AB" w:rsidRDefault="0065301C" w:rsidP="0025423E">
      <w:pPr>
        <w:widowControl w:val="0"/>
        <w:spacing w:line="360" w:lineRule="auto"/>
        <w:rPr>
          <w:rFonts w:asciiTheme="majorHAnsi" w:hAnsiTheme="majorHAnsi"/>
          <w:sz w:val="20"/>
          <w:szCs w:val="20"/>
        </w:rPr>
      </w:pPr>
    </w:p>
    <w:p w14:paraId="67DA828B" w14:textId="22C4D6D9" w:rsidR="00074E85" w:rsidRPr="006C46AB" w:rsidRDefault="00C416E5" w:rsidP="0025423E">
      <w:pPr>
        <w:widowControl w:val="0"/>
        <w:spacing w:line="360" w:lineRule="auto"/>
        <w:rPr>
          <w:rFonts w:asciiTheme="majorHAnsi" w:hAnsiTheme="majorHAnsi"/>
          <w:sz w:val="20"/>
          <w:szCs w:val="20"/>
        </w:rPr>
      </w:pPr>
      <w:r w:rsidRPr="006C46AB">
        <w:rPr>
          <w:rFonts w:asciiTheme="majorHAnsi" w:hAnsiTheme="majorHAnsi"/>
          <w:sz w:val="20"/>
          <w:szCs w:val="20"/>
        </w:rPr>
        <w:t>7</w:t>
      </w:r>
      <w:r w:rsidR="00B938FE" w:rsidRPr="006C46AB">
        <w:rPr>
          <w:rFonts w:asciiTheme="majorHAnsi" w:hAnsiTheme="majorHAnsi"/>
          <w:sz w:val="20"/>
          <w:szCs w:val="20"/>
        </w:rPr>
        <w:t xml:space="preserve"> </w:t>
      </w:r>
      <w:proofErr w:type="spellStart"/>
      <w:r w:rsidR="00074E85" w:rsidRPr="006C46AB">
        <w:rPr>
          <w:rFonts w:asciiTheme="majorHAnsi" w:hAnsiTheme="majorHAnsi"/>
          <w:sz w:val="20"/>
          <w:szCs w:val="20"/>
        </w:rPr>
        <w:t>Kosek</w:t>
      </w:r>
      <w:proofErr w:type="spellEnd"/>
      <w:r w:rsidR="00074E85" w:rsidRPr="006C46AB">
        <w:rPr>
          <w:rFonts w:asciiTheme="majorHAnsi" w:hAnsiTheme="majorHAnsi"/>
          <w:sz w:val="20"/>
          <w:szCs w:val="20"/>
        </w:rPr>
        <w:t xml:space="preserve"> M, </w:t>
      </w:r>
      <w:proofErr w:type="spellStart"/>
      <w:r w:rsidR="00074E85" w:rsidRPr="006C46AB">
        <w:rPr>
          <w:rFonts w:asciiTheme="majorHAnsi" w:hAnsiTheme="majorHAnsi"/>
          <w:sz w:val="20"/>
          <w:szCs w:val="20"/>
        </w:rPr>
        <w:t>Guerrant</w:t>
      </w:r>
      <w:proofErr w:type="spellEnd"/>
      <w:r w:rsidR="00074E85" w:rsidRPr="006C46AB">
        <w:rPr>
          <w:rFonts w:asciiTheme="majorHAnsi" w:hAnsiTheme="majorHAnsi"/>
          <w:sz w:val="20"/>
          <w:szCs w:val="20"/>
        </w:rPr>
        <w:t xml:space="preserve"> RL, Kang G, </w:t>
      </w:r>
      <w:r w:rsidR="00A0494D" w:rsidRPr="006C46AB">
        <w:rPr>
          <w:rFonts w:asciiTheme="majorHAnsi" w:hAnsiTheme="majorHAnsi"/>
          <w:sz w:val="20"/>
          <w:szCs w:val="20"/>
        </w:rPr>
        <w:t>et al</w:t>
      </w:r>
      <w:r w:rsidR="00B938FE" w:rsidRPr="006C46AB">
        <w:rPr>
          <w:rFonts w:asciiTheme="majorHAnsi" w:hAnsiTheme="majorHAnsi"/>
          <w:sz w:val="20"/>
          <w:szCs w:val="20"/>
        </w:rPr>
        <w:t>. Assessment of Environmental Enteropathy in the MAL-ED cohort Study: theoretical and analytic framewo</w:t>
      </w:r>
      <w:r w:rsidR="00283F54" w:rsidRPr="006C46AB">
        <w:rPr>
          <w:rFonts w:asciiTheme="majorHAnsi" w:hAnsiTheme="majorHAnsi"/>
          <w:sz w:val="20"/>
          <w:szCs w:val="20"/>
        </w:rPr>
        <w:t xml:space="preserve">rk. </w:t>
      </w:r>
      <w:proofErr w:type="spellStart"/>
      <w:r w:rsidR="00283F54" w:rsidRPr="006C46AB">
        <w:rPr>
          <w:rFonts w:asciiTheme="majorHAnsi" w:hAnsiTheme="majorHAnsi"/>
          <w:sz w:val="20"/>
          <w:szCs w:val="20"/>
        </w:rPr>
        <w:t>Clin</w:t>
      </w:r>
      <w:proofErr w:type="spellEnd"/>
      <w:r w:rsidR="00283F54" w:rsidRPr="006C46AB">
        <w:rPr>
          <w:rFonts w:asciiTheme="majorHAnsi" w:hAnsiTheme="majorHAnsi"/>
          <w:sz w:val="20"/>
          <w:szCs w:val="20"/>
        </w:rPr>
        <w:t xml:space="preserve"> Infect Dis 2014; 59</w:t>
      </w:r>
      <w:r w:rsidR="00B938FE" w:rsidRPr="006C46AB">
        <w:rPr>
          <w:rFonts w:asciiTheme="majorHAnsi" w:hAnsiTheme="majorHAnsi"/>
          <w:sz w:val="20"/>
          <w:szCs w:val="20"/>
        </w:rPr>
        <w:t>: S239–47.</w:t>
      </w:r>
    </w:p>
    <w:p w14:paraId="332BF6E2" w14:textId="77777777" w:rsidR="00262076" w:rsidRPr="006C46AB" w:rsidRDefault="00262076" w:rsidP="0025423E">
      <w:pPr>
        <w:widowControl w:val="0"/>
        <w:spacing w:line="360" w:lineRule="auto"/>
        <w:rPr>
          <w:rFonts w:asciiTheme="majorHAnsi" w:hAnsiTheme="majorHAnsi"/>
          <w:sz w:val="20"/>
          <w:szCs w:val="20"/>
        </w:rPr>
      </w:pPr>
    </w:p>
    <w:p w14:paraId="0441AA0D" w14:textId="2EE1CFAE" w:rsidR="00950C5D" w:rsidRPr="006C46AB" w:rsidRDefault="00C416E5" w:rsidP="0025423E">
      <w:pPr>
        <w:widowControl w:val="0"/>
        <w:spacing w:line="360" w:lineRule="auto"/>
        <w:rPr>
          <w:rFonts w:asciiTheme="majorHAnsi" w:hAnsiTheme="majorHAnsi"/>
          <w:sz w:val="20"/>
          <w:szCs w:val="20"/>
        </w:rPr>
      </w:pPr>
      <w:r w:rsidRPr="006C46AB">
        <w:rPr>
          <w:rFonts w:asciiTheme="majorHAnsi" w:hAnsiTheme="majorHAnsi"/>
          <w:sz w:val="20"/>
          <w:szCs w:val="20"/>
        </w:rPr>
        <w:t>8</w:t>
      </w:r>
      <w:r w:rsidR="0065301C" w:rsidRPr="006C46AB">
        <w:rPr>
          <w:rFonts w:asciiTheme="majorHAnsi" w:hAnsiTheme="majorHAnsi"/>
          <w:sz w:val="20"/>
          <w:szCs w:val="20"/>
        </w:rPr>
        <w:t xml:space="preserve"> </w:t>
      </w:r>
      <w:r w:rsidR="00672D7C" w:rsidRPr="006C46AB">
        <w:rPr>
          <w:rFonts w:asciiTheme="majorHAnsi" w:hAnsiTheme="majorHAnsi"/>
          <w:sz w:val="20"/>
          <w:szCs w:val="20"/>
        </w:rPr>
        <w:t xml:space="preserve">Levine MM. Immunogenicity and efficacy of oral vaccines in developing countries: lessons from a live cholera vaccine. BMC Biology </w:t>
      </w:r>
      <w:r w:rsidR="00283F54" w:rsidRPr="006C46AB">
        <w:rPr>
          <w:rFonts w:asciiTheme="majorHAnsi" w:hAnsiTheme="majorHAnsi"/>
          <w:sz w:val="20"/>
          <w:szCs w:val="20"/>
        </w:rPr>
        <w:t>2010;</w:t>
      </w:r>
      <w:r w:rsidR="00672D7C" w:rsidRPr="006C46AB">
        <w:rPr>
          <w:rFonts w:asciiTheme="majorHAnsi" w:hAnsiTheme="majorHAnsi"/>
          <w:sz w:val="20"/>
          <w:szCs w:val="20"/>
        </w:rPr>
        <w:t xml:space="preserve"> </w:t>
      </w:r>
      <w:r w:rsidR="00672D7C" w:rsidRPr="006C46AB">
        <w:rPr>
          <w:rFonts w:asciiTheme="majorHAnsi" w:hAnsiTheme="majorHAnsi" w:cs="Myriad Pro Light"/>
          <w:bCs/>
          <w:sz w:val="20"/>
          <w:szCs w:val="20"/>
        </w:rPr>
        <w:t>8</w:t>
      </w:r>
      <w:r w:rsidR="00672D7C" w:rsidRPr="006C46AB">
        <w:rPr>
          <w:rFonts w:asciiTheme="majorHAnsi" w:hAnsiTheme="majorHAnsi"/>
          <w:sz w:val="20"/>
          <w:szCs w:val="20"/>
        </w:rPr>
        <w:t>:</w:t>
      </w:r>
      <w:r w:rsidR="00283F54" w:rsidRPr="006C46AB">
        <w:rPr>
          <w:rFonts w:asciiTheme="majorHAnsi" w:hAnsiTheme="majorHAnsi"/>
          <w:sz w:val="20"/>
          <w:szCs w:val="20"/>
        </w:rPr>
        <w:t xml:space="preserve"> </w:t>
      </w:r>
      <w:r w:rsidR="00672D7C" w:rsidRPr="006C46AB">
        <w:rPr>
          <w:rFonts w:asciiTheme="majorHAnsi" w:hAnsiTheme="majorHAnsi"/>
          <w:sz w:val="20"/>
          <w:szCs w:val="20"/>
        </w:rPr>
        <w:t xml:space="preserve">129. </w:t>
      </w:r>
    </w:p>
    <w:p w14:paraId="7033A092" w14:textId="77777777" w:rsidR="00B938FE" w:rsidRPr="006C46AB" w:rsidRDefault="00B938FE" w:rsidP="0025423E">
      <w:pPr>
        <w:widowControl w:val="0"/>
        <w:spacing w:line="360" w:lineRule="auto"/>
        <w:rPr>
          <w:rFonts w:asciiTheme="majorHAnsi" w:hAnsiTheme="majorHAnsi"/>
          <w:sz w:val="20"/>
          <w:szCs w:val="20"/>
        </w:rPr>
      </w:pPr>
    </w:p>
    <w:p w14:paraId="718D9E52" w14:textId="3AAD7DEF" w:rsidR="00552C9D" w:rsidRPr="006C46AB" w:rsidRDefault="00C416E5" w:rsidP="0025423E">
      <w:pPr>
        <w:widowControl w:val="0"/>
        <w:spacing w:line="360" w:lineRule="auto"/>
        <w:rPr>
          <w:rFonts w:asciiTheme="majorHAnsi" w:hAnsiTheme="majorHAnsi"/>
          <w:sz w:val="20"/>
          <w:szCs w:val="20"/>
        </w:rPr>
      </w:pPr>
      <w:r w:rsidRPr="006C46AB">
        <w:rPr>
          <w:rFonts w:asciiTheme="majorHAnsi" w:hAnsiTheme="majorHAnsi"/>
          <w:sz w:val="20"/>
          <w:szCs w:val="20"/>
        </w:rPr>
        <w:t>9</w:t>
      </w:r>
      <w:r w:rsidR="009052B9" w:rsidRPr="006C46AB">
        <w:rPr>
          <w:rFonts w:asciiTheme="majorHAnsi" w:hAnsiTheme="majorHAnsi"/>
          <w:sz w:val="20"/>
          <w:szCs w:val="20"/>
        </w:rPr>
        <w:t xml:space="preserve"> Campbell D</w:t>
      </w:r>
      <w:r w:rsidR="00552C9D" w:rsidRPr="006C46AB">
        <w:rPr>
          <w:rFonts w:asciiTheme="majorHAnsi" w:hAnsiTheme="majorHAnsi"/>
          <w:sz w:val="20"/>
          <w:szCs w:val="20"/>
        </w:rPr>
        <w:t xml:space="preserve">I, </w:t>
      </w:r>
      <w:proofErr w:type="spellStart"/>
      <w:r w:rsidR="00552C9D" w:rsidRPr="006C46AB">
        <w:rPr>
          <w:rFonts w:asciiTheme="majorHAnsi" w:hAnsiTheme="majorHAnsi"/>
          <w:sz w:val="20"/>
          <w:szCs w:val="20"/>
        </w:rPr>
        <w:t>Elia</w:t>
      </w:r>
      <w:proofErr w:type="spellEnd"/>
      <w:r w:rsidR="00552C9D" w:rsidRPr="006C46AB">
        <w:rPr>
          <w:rFonts w:asciiTheme="majorHAnsi" w:hAnsiTheme="majorHAnsi"/>
          <w:sz w:val="20"/>
          <w:szCs w:val="20"/>
        </w:rPr>
        <w:t xml:space="preserve"> M, </w:t>
      </w:r>
      <w:proofErr w:type="spellStart"/>
      <w:r w:rsidR="00552C9D" w:rsidRPr="006C46AB">
        <w:rPr>
          <w:rFonts w:asciiTheme="majorHAnsi" w:hAnsiTheme="majorHAnsi"/>
          <w:sz w:val="20"/>
          <w:szCs w:val="20"/>
        </w:rPr>
        <w:t>Lunn</w:t>
      </w:r>
      <w:proofErr w:type="spellEnd"/>
      <w:r w:rsidR="00552C9D" w:rsidRPr="006C46AB">
        <w:rPr>
          <w:rFonts w:asciiTheme="majorHAnsi" w:hAnsiTheme="majorHAnsi"/>
          <w:sz w:val="20"/>
          <w:szCs w:val="20"/>
        </w:rPr>
        <w:t xml:space="preserve"> PG. Growth faltering in rural Gambian infants is associated with impaired</w:t>
      </w:r>
    </w:p>
    <w:p w14:paraId="47B706FF" w14:textId="73F0F14B" w:rsidR="00552C9D" w:rsidRPr="006C46AB" w:rsidRDefault="00552C9D" w:rsidP="0025423E">
      <w:pPr>
        <w:widowControl w:val="0"/>
        <w:autoSpaceDE w:val="0"/>
        <w:autoSpaceDN w:val="0"/>
        <w:adjustRightInd w:val="0"/>
        <w:spacing w:line="360" w:lineRule="auto"/>
        <w:rPr>
          <w:rFonts w:asciiTheme="majorHAnsi" w:hAnsiTheme="majorHAnsi"/>
          <w:sz w:val="20"/>
          <w:szCs w:val="20"/>
        </w:rPr>
      </w:pPr>
      <w:r w:rsidRPr="006C46AB">
        <w:rPr>
          <w:rFonts w:asciiTheme="majorHAnsi" w:hAnsiTheme="majorHAnsi"/>
          <w:sz w:val="20"/>
          <w:szCs w:val="20"/>
        </w:rPr>
        <w:t xml:space="preserve">small intestinal barrier function, leading to </w:t>
      </w:r>
      <w:proofErr w:type="spellStart"/>
      <w:r w:rsidRPr="006C46AB">
        <w:rPr>
          <w:rFonts w:asciiTheme="majorHAnsi" w:hAnsiTheme="majorHAnsi"/>
          <w:sz w:val="20"/>
          <w:szCs w:val="20"/>
        </w:rPr>
        <w:t>endotoxemia</w:t>
      </w:r>
      <w:proofErr w:type="spellEnd"/>
      <w:r w:rsidRPr="006C46AB">
        <w:rPr>
          <w:rFonts w:asciiTheme="majorHAnsi" w:hAnsiTheme="majorHAnsi"/>
          <w:sz w:val="20"/>
          <w:szCs w:val="20"/>
        </w:rPr>
        <w:t xml:space="preserve"> and systemic inflammation. </w:t>
      </w:r>
      <w:r w:rsidRPr="006C46AB">
        <w:rPr>
          <w:rFonts w:asciiTheme="majorHAnsi" w:hAnsiTheme="majorHAnsi" w:cs="Times New Roman"/>
          <w:sz w:val="20"/>
          <w:szCs w:val="20"/>
          <w:lang w:val="en-US"/>
        </w:rPr>
        <w:t xml:space="preserve">J </w:t>
      </w:r>
      <w:proofErr w:type="spellStart"/>
      <w:r w:rsidRPr="006C46AB">
        <w:rPr>
          <w:rFonts w:asciiTheme="majorHAnsi" w:hAnsiTheme="majorHAnsi" w:cs="Times New Roman"/>
          <w:sz w:val="20"/>
          <w:szCs w:val="20"/>
          <w:lang w:val="en-US"/>
        </w:rPr>
        <w:t>Nutr</w:t>
      </w:r>
      <w:proofErr w:type="spellEnd"/>
      <w:r w:rsidRPr="006C46AB">
        <w:rPr>
          <w:rFonts w:asciiTheme="majorHAnsi" w:hAnsiTheme="majorHAnsi" w:cs="Times New Roman"/>
          <w:sz w:val="20"/>
          <w:szCs w:val="20"/>
          <w:lang w:val="en-US"/>
        </w:rPr>
        <w:t xml:space="preserve"> 2003; 133: 1332–1338.</w:t>
      </w:r>
    </w:p>
    <w:p w14:paraId="07A40272" w14:textId="77777777" w:rsidR="00B938FE" w:rsidRPr="006C46AB" w:rsidRDefault="00B938FE" w:rsidP="0025423E">
      <w:pPr>
        <w:widowControl w:val="0"/>
        <w:spacing w:line="360" w:lineRule="auto"/>
        <w:rPr>
          <w:rFonts w:asciiTheme="majorHAnsi" w:hAnsiTheme="majorHAnsi"/>
          <w:sz w:val="20"/>
          <w:szCs w:val="20"/>
        </w:rPr>
      </w:pPr>
    </w:p>
    <w:p w14:paraId="593616F9" w14:textId="0E83B53F" w:rsidR="00E508A4" w:rsidRPr="006C46AB" w:rsidRDefault="00E508A4" w:rsidP="0025423E">
      <w:pPr>
        <w:widowControl w:val="0"/>
        <w:autoSpaceDE w:val="0"/>
        <w:autoSpaceDN w:val="0"/>
        <w:adjustRightInd w:val="0"/>
        <w:spacing w:line="360" w:lineRule="auto"/>
        <w:rPr>
          <w:rFonts w:asciiTheme="majorHAnsi" w:hAnsiTheme="majorHAnsi"/>
          <w:sz w:val="20"/>
          <w:szCs w:val="20"/>
        </w:rPr>
      </w:pPr>
      <w:r w:rsidRPr="006C46AB">
        <w:rPr>
          <w:rFonts w:asciiTheme="majorHAnsi" w:hAnsiTheme="majorHAnsi"/>
          <w:sz w:val="20"/>
          <w:szCs w:val="20"/>
        </w:rPr>
        <w:t>10</w:t>
      </w:r>
      <w:r w:rsidR="00BC7949" w:rsidRPr="006C46AB">
        <w:rPr>
          <w:rFonts w:asciiTheme="majorHAnsi" w:hAnsiTheme="majorHAnsi"/>
          <w:sz w:val="20"/>
          <w:szCs w:val="20"/>
        </w:rPr>
        <w:t xml:space="preserve"> </w:t>
      </w:r>
      <w:proofErr w:type="spellStart"/>
      <w:r w:rsidR="00BC7949" w:rsidRPr="006C46AB">
        <w:rPr>
          <w:rFonts w:asciiTheme="majorHAnsi" w:hAnsiTheme="majorHAnsi"/>
          <w:sz w:val="20"/>
          <w:szCs w:val="20"/>
        </w:rPr>
        <w:t>Brenchley</w:t>
      </w:r>
      <w:proofErr w:type="spellEnd"/>
      <w:r w:rsidR="00BC7949" w:rsidRPr="006C46AB">
        <w:rPr>
          <w:rFonts w:asciiTheme="majorHAnsi" w:hAnsiTheme="majorHAnsi"/>
          <w:sz w:val="20"/>
          <w:szCs w:val="20"/>
        </w:rPr>
        <w:t xml:space="preserve"> J</w:t>
      </w:r>
      <w:r w:rsidR="00D45EE9" w:rsidRPr="006C46AB">
        <w:rPr>
          <w:rFonts w:asciiTheme="majorHAnsi" w:hAnsiTheme="majorHAnsi"/>
          <w:sz w:val="20"/>
          <w:szCs w:val="20"/>
        </w:rPr>
        <w:t xml:space="preserve">, </w:t>
      </w:r>
      <w:proofErr w:type="spellStart"/>
      <w:r w:rsidR="00D45EE9" w:rsidRPr="006C46AB">
        <w:rPr>
          <w:rFonts w:asciiTheme="majorHAnsi" w:hAnsiTheme="majorHAnsi"/>
          <w:sz w:val="20"/>
          <w:szCs w:val="20"/>
        </w:rPr>
        <w:t>Douek</w:t>
      </w:r>
      <w:proofErr w:type="spellEnd"/>
      <w:r w:rsidR="00D45EE9" w:rsidRPr="006C46AB">
        <w:rPr>
          <w:rFonts w:asciiTheme="majorHAnsi" w:hAnsiTheme="majorHAnsi"/>
          <w:sz w:val="20"/>
          <w:szCs w:val="20"/>
        </w:rPr>
        <w:t xml:space="preserve"> DC. </w:t>
      </w:r>
      <w:r w:rsidR="00BC7949" w:rsidRPr="006C46AB">
        <w:rPr>
          <w:rFonts w:asciiTheme="majorHAnsi" w:hAnsiTheme="majorHAnsi" w:cs="Times New Roman"/>
          <w:sz w:val="20"/>
          <w:szCs w:val="20"/>
          <w:lang w:val="en-US"/>
        </w:rPr>
        <w:t>Microbial translocation across the GI t</w:t>
      </w:r>
      <w:r w:rsidR="00D45EE9" w:rsidRPr="006C46AB">
        <w:rPr>
          <w:rFonts w:asciiTheme="majorHAnsi" w:hAnsiTheme="majorHAnsi" w:cs="Times New Roman"/>
          <w:sz w:val="20"/>
          <w:szCs w:val="20"/>
          <w:lang w:val="en-US"/>
        </w:rPr>
        <w:t xml:space="preserve">ract. </w:t>
      </w:r>
      <w:proofErr w:type="spellStart"/>
      <w:r w:rsidR="000E57CB" w:rsidRPr="006C46AB">
        <w:rPr>
          <w:rFonts w:asciiTheme="majorHAnsi" w:hAnsiTheme="majorHAnsi" w:cs="Times New Roman"/>
          <w:sz w:val="20"/>
          <w:szCs w:val="20"/>
          <w:lang w:val="en-US"/>
        </w:rPr>
        <w:t>Annu</w:t>
      </w:r>
      <w:proofErr w:type="spellEnd"/>
      <w:r w:rsidR="000E57CB" w:rsidRPr="006C46AB">
        <w:rPr>
          <w:rFonts w:asciiTheme="majorHAnsi" w:hAnsiTheme="majorHAnsi" w:cs="Times New Roman"/>
          <w:sz w:val="20"/>
          <w:szCs w:val="20"/>
          <w:lang w:val="en-US"/>
        </w:rPr>
        <w:t xml:space="preserve"> Rev </w:t>
      </w:r>
      <w:proofErr w:type="spellStart"/>
      <w:r w:rsidR="000E57CB" w:rsidRPr="006C46AB">
        <w:rPr>
          <w:rFonts w:asciiTheme="majorHAnsi" w:hAnsiTheme="majorHAnsi" w:cs="Times New Roman"/>
          <w:sz w:val="20"/>
          <w:szCs w:val="20"/>
          <w:lang w:val="en-US"/>
        </w:rPr>
        <w:t>Immunol</w:t>
      </w:r>
      <w:proofErr w:type="spellEnd"/>
      <w:r w:rsidR="000E57CB" w:rsidRPr="006C46AB">
        <w:rPr>
          <w:rFonts w:asciiTheme="majorHAnsi" w:hAnsiTheme="majorHAnsi" w:cs="Times New Roman"/>
          <w:sz w:val="20"/>
          <w:szCs w:val="20"/>
          <w:lang w:val="en-US"/>
        </w:rPr>
        <w:t xml:space="preserve"> 2012; 30: 149–73.</w:t>
      </w:r>
    </w:p>
    <w:p w14:paraId="2FBA922E" w14:textId="77777777" w:rsidR="00D45EE9" w:rsidRPr="006C46AB" w:rsidRDefault="00D45EE9" w:rsidP="0025423E">
      <w:pPr>
        <w:widowControl w:val="0"/>
        <w:spacing w:line="360" w:lineRule="auto"/>
        <w:rPr>
          <w:rFonts w:asciiTheme="majorHAnsi" w:hAnsiTheme="majorHAnsi"/>
          <w:sz w:val="20"/>
          <w:szCs w:val="20"/>
        </w:rPr>
      </w:pPr>
    </w:p>
    <w:p w14:paraId="32D90BE5" w14:textId="2A044B15" w:rsidR="00691E64" w:rsidRPr="006C46AB" w:rsidRDefault="00583B89" w:rsidP="00691E64">
      <w:pPr>
        <w:widowControl w:val="0"/>
        <w:autoSpaceDE w:val="0"/>
        <w:autoSpaceDN w:val="0"/>
        <w:adjustRightInd w:val="0"/>
        <w:spacing w:line="360" w:lineRule="auto"/>
        <w:rPr>
          <w:rFonts w:asciiTheme="majorHAnsi" w:hAnsiTheme="majorHAnsi"/>
          <w:sz w:val="28"/>
          <w:szCs w:val="20"/>
        </w:rPr>
      </w:pPr>
      <w:r w:rsidRPr="006C46AB">
        <w:rPr>
          <w:rFonts w:asciiTheme="majorHAnsi" w:hAnsiTheme="majorHAnsi"/>
          <w:sz w:val="20"/>
          <w:szCs w:val="20"/>
        </w:rPr>
        <w:t xml:space="preserve">11 </w:t>
      </w:r>
      <w:r w:rsidRPr="006C46AB">
        <w:rPr>
          <w:rFonts w:asciiTheme="majorHAnsi" w:hAnsiTheme="majorHAnsi" w:cs="Times New Roman"/>
          <w:sz w:val="20"/>
          <w:szCs w:val="14"/>
          <w:lang w:val="en-US"/>
        </w:rPr>
        <w:t xml:space="preserve">Prendergast AJ, </w:t>
      </w:r>
      <w:proofErr w:type="spellStart"/>
      <w:r w:rsidRPr="006C46AB">
        <w:rPr>
          <w:rFonts w:asciiTheme="majorHAnsi" w:hAnsiTheme="majorHAnsi" w:cs="Times New Roman"/>
          <w:sz w:val="20"/>
          <w:szCs w:val="14"/>
          <w:lang w:val="en-US"/>
        </w:rPr>
        <w:t>Rukobo</w:t>
      </w:r>
      <w:proofErr w:type="spellEnd"/>
      <w:r w:rsidRPr="006C46AB">
        <w:rPr>
          <w:rFonts w:asciiTheme="majorHAnsi" w:hAnsiTheme="majorHAnsi" w:cs="Times New Roman"/>
          <w:sz w:val="20"/>
          <w:szCs w:val="14"/>
          <w:lang w:val="en-US"/>
        </w:rPr>
        <w:t xml:space="preserve"> S, </w:t>
      </w:r>
      <w:proofErr w:type="spellStart"/>
      <w:r w:rsidRPr="006C46AB">
        <w:rPr>
          <w:rFonts w:asciiTheme="majorHAnsi" w:hAnsiTheme="majorHAnsi" w:cs="Times New Roman"/>
          <w:sz w:val="20"/>
          <w:szCs w:val="14"/>
          <w:lang w:val="en-US"/>
        </w:rPr>
        <w:t>Chasekwa</w:t>
      </w:r>
      <w:proofErr w:type="spellEnd"/>
      <w:r w:rsidRPr="006C46AB">
        <w:rPr>
          <w:rFonts w:asciiTheme="majorHAnsi" w:hAnsiTheme="majorHAnsi" w:cs="Times New Roman"/>
          <w:sz w:val="20"/>
          <w:szCs w:val="14"/>
          <w:lang w:val="en-US"/>
        </w:rPr>
        <w:t xml:space="preserve"> B, et al. Stunting Is Characterized by Chronic Inflammation in Zimbabwean Infants. </w:t>
      </w:r>
      <w:proofErr w:type="spellStart"/>
      <w:r w:rsidRPr="006C46AB">
        <w:rPr>
          <w:rFonts w:asciiTheme="majorHAnsi" w:hAnsiTheme="majorHAnsi" w:cs="Times New Roman"/>
          <w:sz w:val="20"/>
          <w:szCs w:val="14"/>
          <w:lang w:val="en-US"/>
        </w:rPr>
        <w:t>PLoS</w:t>
      </w:r>
      <w:proofErr w:type="spellEnd"/>
      <w:r w:rsidRPr="006C46AB">
        <w:rPr>
          <w:rFonts w:asciiTheme="majorHAnsi" w:hAnsiTheme="majorHAnsi" w:cs="Times New Roman"/>
          <w:sz w:val="20"/>
          <w:szCs w:val="14"/>
          <w:lang w:val="en-US"/>
        </w:rPr>
        <w:t xml:space="preserve"> ONE </w:t>
      </w:r>
      <w:r w:rsidR="00283F54" w:rsidRPr="006C46AB">
        <w:rPr>
          <w:rFonts w:asciiTheme="majorHAnsi" w:hAnsiTheme="majorHAnsi" w:cs="Times New Roman"/>
          <w:sz w:val="20"/>
          <w:szCs w:val="14"/>
          <w:lang w:val="en-US"/>
        </w:rPr>
        <w:t>2014; 9</w:t>
      </w:r>
      <w:r w:rsidRPr="006C46AB">
        <w:rPr>
          <w:rFonts w:asciiTheme="majorHAnsi" w:hAnsiTheme="majorHAnsi" w:cs="Times New Roman"/>
          <w:sz w:val="20"/>
          <w:szCs w:val="14"/>
          <w:lang w:val="en-US"/>
        </w:rPr>
        <w:t xml:space="preserve">: e86928. </w:t>
      </w:r>
    </w:p>
    <w:p w14:paraId="59AE0B7E" w14:textId="77777777" w:rsidR="00691E64" w:rsidRPr="006C46AB" w:rsidRDefault="00691E64" w:rsidP="00691E64">
      <w:pPr>
        <w:widowControl w:val="0"/>
        <w:autoSpaceDE w:val="0"/>
        <w:autoSpaceDN w:val="0"/>
        <w:adjustRightInd w:val="0"/>
        <w:spacing w:line="360" w:lineRule="auto"/>
        <w:rPr>
          <w:rFonts w:asciiTheme="majorHAnsi" w:hAnsiTheme="majorHAnsi"/>
          <w:sz w:val="28"/>
          <w:szCs w:val="20"/>
        </w:rPr>
      </w:pPr>
    </w:p>
    <w:p w14:paraId="3D261109" w14:textId="69B4FF3C" w:rsidR="00D45EE9" w:rsidRPr="006C46AB" w:rsidRDefault="00583B89" w:rsidP="00691E64">
      <w:pPr>
        <w:widowControl w:val="0"/>
        <w:autoSpaceDE w:val="0"/>
        <w:autoSpaceDN w:val="0"/>
        <w:adjustRightInd w:val="0"/>
        <w:spacing w:line="360" w:lineRule="auto"/>
        <w:rPr>
          <w:rFonts w:asciiTheme="majorHAnsi" w:hAnsiTheme="majorHAnsi"/>
          <w:sz w:val="28"/>
          <w:szCs w:val="20"/>
        </w:rPr>
      </w:pPr>
      <w:r w:rsidRPr="006C46AB">
        <w:rPr>
          <w:rFonts w:asciiTheme="majorHAnsi" w:hAnsiTheme="majorHAnsi"/>
          <w:sz w:val="20"/>
          <w:szCs w:val="20"/>
        </w:rPr>
        <w:t>12</w:t>
      </w:r>
      <w:r w:rsidR="00D45EE9" w:rsidRPr="006C46AB">
        <w:rPr>
          <w:rFonts w:asciiTheme="majorHAnsi" w:hAnsiTheme="majorHAnsi"/>
          <w:sz w:val="20"/>
          <w:szCs w:val="20"/>
        </w:rPr>
        <w:t xml:space="preserve"> </w:t>
      </w:r>
      <w:proofErr w:type="spellStart"/>
      <w:r w:rsidR="00D45EE9" w:rsidRPr="006C46AB">
        <w:rPr>
          <w:rFonts w:asciiTheme="majorHAnsi" w:hAnsiTheme="majorHAnsi"/>
          <w:sz w:val="20"/>
          <w:szCs w:val="20"/>
        </w:rPr>
        <w:t>Kimer</w:t>
      </w:r>
      <w:proofErr w:type="spellEnd"/>
      <w:r w:rsidR="00D45EE9" w:rsidRPr="006C46AB">
        <w:rPr>
          <w:rFonts w:asciiTheme="majorHAnsi" w:hAnsiTheme="majorHAnsi"/>
          <w:sz w:val="20"/>
          <w:szCs w:val="20"/>
        </w:rPr>
        <w:t xml:space="preserve"> </w:t>
      </w:r>
      <w:r w:rsidR="000E57CB" w:rsidRPr="006C46AB">
        <w:rPr>
          <w:rFonts w:asciiTheme="majorHAnsi" w:hAnsiTheme="majorHAnsi"/>
          <w:sz w:val="20"/>
          <w:szCs w:val="20"/>
        </w:rPr>
        <w:t xml:space="preserve">N, </w:t>
      </w:r>
      <w:proofErr w:type="spellStart"/>
      <w:r w:rsidR="000E57CB" w:rsidRPr="006C46AB">
        <w:rPr>
          <w:rFonts w:asciiTheme="majorHAnsi" w:hAnsiTheme="majorHAnsi"/>
          <w:sz w:val="20"/>
          <w:szCs w:val="20"/>
        </w:rPr>
        <w:t>Krag</w:t>
      </w:r>
      <w:proofErr w:type="spellEnd"/>
      <w:r w:rsidR="000E57CB" w:rsidRPr="006C46AB">
        <w:rPr>
          <w:rFonts w:asciiTheme="majorHAnsi" w:hAnsiTheme="majorHAnsi"/>
          <w:sz w:val="20"/>
          <w:szCs w:val="20"/>
        </w:rPr>
        <w:t xml:space="preserve"> A, Moller S, </w:t>
      </w:r>
      <w:r w:rsidR="00283F54" w:rsidRPr="006C46AB">
        <w:rPr>
          <w:rFonts w:asciiTheme="majorHAnsi" w:hAnsiTheme="majorHAnsi"/>
          <w:sz w:val="20"/>
          <w:szCs w:val="20"/>
        </w:rPr>
        <w:t>et al</w:t>
      </w:r>
      <w:r w:rsidR="000E57CB" w:rsidRPr="006C46AB">
        <w:rPr>
          <w:rFonts w:asciiTheme="majorHAnsi" w:hAnsiTheme="majorHAnsi"/>
          <w:sz w:val="20"/>
          <w:szCs w:val="20"/>
        </w:rPr>
        <w:t xml:space="preserve">. Systematic review with meta-analysis: the effects of </w:t>
      </w:r>
      <w:proofErr w:type="spellStart"/>
      <w:r w:rsidR="000E57CB" w:rsidRPr="006C46AB">
        <w:rPr>
          <w:rFonts w:asciiTheme="majorHAnsi" w:hAnsiTheme="majorHAnsi"/>
          <w:sz w:val="20"/>
          <w:szCs w:val="20"/>
        </w:rPr>
        <w:t>rifaximin</w:t>
      </w:r>
      <w:proofErr w:type="spellEnd"/>
      <w:r w:rsidR="000E57CB" w:rsidRPr="006C46AB">
        <w:rPr>
          <w:rFonts w:asciiTheme="majorHAnsi" w:hAnsiTheme="majorHAnsi"/>
          <w:sz w:val="20"/>
          <w:szCs w:val="20"/>
        </w:rPr>
        <w:t xml:space="preserve"> in hepatic encephalopathy. </w:t>
      </w:r>
      <w:r w:rsidR="000E57CB" w:rsidRPr="006C46AB">
        <w:rPr>
          <w:rFonts w:asciiTheme="majorHAnsi" w:hAnsiTheme="majorHAnsi" w:cs="Times New Roman"/>
          <w:sz w:val="20"/>
          <w:szCs w:val="20"/>
          <w:lang w:val="en-US"/>
        </w:rPr>
        <w:t xml:space="preserve">Aliment </w:t>
      </w:r>
      <w:proofErr w:type="spellStart"/>
      <w:r w:rsidR="000E57CB" w:rsidRPr="006C46AB">
        <w:rPr>
          <w:rFonts w:asciiTheme="majorHAnsi" w:hAnsiTheme="majorHAnsi" w:cs="Times New Roman"/>
          <w:sz w:val="20"/>
          <w:szCs w:val="20"/>
          <w:lang w:val="en-US"/>
        </w:rPr>
        <w:t>Pharmacol</w:t>
      </w:r>
      <w:proofErr w:type="spellEnd"/>
      <w:r w:rsidR="000E57CB" w:rsidRPr="006C46AB">
        <w:rPr>
          <w:rFonts w:asciiTheme="majorHAnsi" w:hAnsiTheme="majorHAnsi" w:cs="Times New Roman"/>
          <w:sz w:val="20"/>
          <w:szCs w:val="20"/>
          <w:lang w:val="en-US"/>
        </w:rPr>
        <w:t xml:space="preserve"> </w:t>
      </w:r>
      <w:proofErr w:type="spellStart"/>
      <w:r w:rsidR="000E57CB" w:rsidRPr="006C46AB">
        <w:rPr>
          <w:rFonts w:asciiTheme="majorHAnsi" w:hAnsiTheme="majorHAnsi" w:cs="Times New Roman"/>
          <w:sz w:val="20"/>
          <w:szCs w:val="20"/>
          <w:lang w:val="en-US"/>
        </w:rPr>
        <w:t>Ther</w:t>
      </w:r>
      <w:proofErr w:type="spellEnd"/>
      <w:r w:rsidR="000E57CB" w:rsidRPr="006C46AB">
        <w:rPr>
          <w:rFonts w:asciiTheme="majorHAnsi" w:hAnsiTheme="majorHAnsi" w:cs="Times New Roman"/>
          <w:sz w:val="20"/>
          <w:szCs w:val="20"/>
          <w:lang w:val="en-US"/>
        </w:rPr>
        <w:t xml:space="preserve"> 2014; 40: 123–132.</w:t>
      </w:r>
      <w:r w:rsidR="000E57CB" w:rsidRPr="006C46AB">
        <w:rPr>
          <w:rFonts w:asciiTheme="majorHAnsi" w:hAnsiTheme="majorHAnsi"/>
          <w:sz w:val="20"/>
          <w:szCs w:val="20"/>
        </w:rPr>
        <w:t xml:space="preserve"> </w:t>
      </w:r>
    </w:p>
    <w:p w14:paraId="0B1C3364" w14:textId="4708441C" w:rsidR="00E508A4" w:rsidRPr="006C46AB" w:rsidRDefault="00583B89" w:rsidP="00837215">
      <w:pPr>
        <w:pStyle w:val="NormalWeb"/>
        <w:widowControl w:val="0"/>
        <w:spacing w:line="360" w:lineRule="auto"/>
        <w:rPr>
          <w:rFonts w:asciiTheme="majorHAnsi" w:hAnsiTheme="majorHAnsi" w:cs="Arial"/>
          <w:noProof/>
          <w:sz w:val="20"/>
          <w:szCs w:val="20"/>
        </w:rPr>
      </w:pPr>
      <w:r w:rsidRPr="006C46AB">
        <w:rPr>
          <w:rFonts w:asciiTheme="majorHAnsi" w:hAnsiTheme="majorHAnsi"/>
          <w:sz w:val="20"/>
          <w:szCs w:val="20"/>
        </w:rPr>
        <w:t>13</w:t>
      </w:r>
      <w:r w:rsidR="00D45EE9" w:rsidRPr="006C46AB">
        <w:rPr>
          <w:rFonts w:asciiTheme="majorHAnsi" w:hAnsiTheme="majorHAnsi" w:cs="Arial"/>
          <w:noProof/>
          <w:sz w:val="20"/>
          <w:szCs w:val="20"/>
        </w:rPr>
        <w:t xml:space="preserve"> Bellot P, García-Pagán JC, Francés R, et al. Bacterial DNA translocation is associated with systemic circulatory abnormalities and intrahepatic endothelial dysfunction in patients with cirrhosis. Hepatology 2010;</w:t>
      </w:r>
      <w:r w:rsidR="00B2100B" w:rsidRPr="006C46AB">
        <w:rPr>
          <w:rFonts w:asciiTheme="majorHAnsi" w:hAnsiTheme="majorHAnsi" w:cs="Arial"/>
          <w:noProof/>
          <w:sz w:val="20"/>
          <w:szCs w:val="20"/>
        </w:rPr>
        <w:t xml:space="preserve"> </w:t>
      </w:r>
      <w:r w:rsidR="00D45EE9" w:rsidRPr="006C46AB">
        <w:rPr>
          <w:rFonts w:asciiTheme="majorHAnsi" w:hAnsiTheme="majorHAnsi" w:cs="Arial"/>
          <w:noProof/>
          <w:sz w:val="20"/>
          <w:szCs w:val="20"/>
        </w:rPr>
        <w:t>52:</w:t>
      </w:r>
      <w:r w:rsidR="00B2100B" w:rsidRPr="006C46AB">
        <w:rPr>
          <w:rFonts w:asciiTheme="majorHAnsi" w:hAnsiTheme="majorHAnsi" w:cs="Arial"/>
          <w:noProof/>
          <w:sz w:val="20"/>
          <w:szCs w:val="20"/>
        </w:rPr>
        <w:t xml:space="preserve"> </w:t>
      </w:r>
      <w:r w:rsidR="00837215" w:rsidRPr="006C46AB">
        <w:rPr>
          <w:rFonts w:asciiTheme="majorHAnsi" w:hAnsiTheme="majorHAnsi" w:cs="Arial"/>
          <w:noProof/>
          <w:sz w:val="20"/>
          <w:szCs w:val="20"/>
        </w:rPr>
        <w:t>2044–2052.</w:t>
      </w:r>
    </w:p>
    <w:p w14:paraId="0E84A989" w14:textId="134EC602" w:rsidR="00E66B6C" w:rsidRPr="006C46AB" w:rsidRDefault="00CC6C02" w:rsidP="00E66B6C">
      <w:pPr>
        <w:pStyle w:val="NormalWeb"/>
        <w:widowControl w:val="0"/>
        <w:spacing w:line="360" w:lineRule="auto"/>
        <w:rPr>
          <w:rFonts w:asciiTheme="majorHAnsi" w:hAnsiTheme="majorHAnsi" w:cs="Arial"/>
          <w:noProof/>
          <w:sz w:val="20"/>
          <w:szCs w:val="20"/>
        </w:rPr>
      </w:pPr>
      <w:r w:rsidRPr="006C46AB">
        <w:rPr>
          <w:rFonts w:asciiTheme="majorHAnsi" w:hAnsiTheme="majorHAnsi" w:cs="Arial"/>
          <w:noProof/>
          <w:sz w:val="20"/>
          <w:szCs w:val="20"/>
        </w:rPr>
        <w:t xml:space="preserve">14 </w:t>
      </w:r>
      <w:r w:rsidR="00E66B6C" w:rsidRPr="006C46AB">
        <w:rPr>
          <w:rFonts w:asciiTheme="majorHAnsi" w:hAnsiTheme="majorHAnsi" w:cs="Arial"/>
          <w:noProof/>
          <w:sz w:val="20"/>
          <w:szCs w:val="20"/>
        </w:rPr>
        <w:t xml:space="preserve">Vesterbacka J, Barqasho B, Häggblom A, </w:t>
      </w:r>
      <w:r w:rsidR="00283F54" w:rsidRPr="006C46AB">
        <w:rPr>
          <w:rFonts w:asciiTheme="majorHAnsi" w:hAnsiTheme="majorHAnsi" w:cs="Arial"/>
          <w:noProof/>
          <w:sz w:val="20"/>
          <w:szCs w:val="20"/>
        </w:rPr>
        <w:t>et al</w:t>
      </w:r>
      <w:r w:rsidR="00E66B6C" w:rsidRPr="006C46AB">
        <w:rPr>
          <w:rFonts w:asciiTheme="majorHAnsi" w:hAnsiTheme="majorHAnsi" w:cs="Arial"/>
          <w:noProof/>
          <w:sz w:val="20"/>
          <w:szCs w:val="20"/>
        </w:rPr>
        <w:t xml:space="preserve">. Effects of Co-Trimoxazole on Microbial Translocation in HIV-1-Infected Patients Initiating Antiretroviral Therapy. AIDS Res Hum Retroviruses. 2015; 31: 830-6. doi: 10.1089/AID.2014.0366. </w:t>
      </w:r>
    </w:p>
    <w:p w14:paraId="50466F67" w14:textId="6756BC85" w:rsidR="00CC6C02" w:rsidRPr="006C46AB" w:rsidRDefault="00CC6C02" w:rsidP="0025423E">
      <w:pPr>
        <w:widowControl w:val="0"/>
        <w:spacing w:line="360" w:lineRule="auto"/>
        <w:rPr>
          <w:rFonts w:asciiTheme="majorHAnsi" w:hAnsiTheme="majorHAnsi" w:cs="Times New Roman"/>
          <w:sz w:val="20"/>
          <w:szCs w:val="20"/>
          <w:lang w:val="en-US"/>
        </w:rPr>
      </w:pPr>
      <w:r w:rsidRPr="006C46AB">
        <w:rPr>
          <w:rFonts w:asciiTheme="majorHAnsi" w:hAnsiTheme="majorHAnsi"/>
          <w:sz w:val="20"/>
          <w:szCs w:val="20"/>
        </w:rPr>
        <w:t>15</w:t>
      </w:r>
      <w:r w:rsidR="00D45EE9" w:rsidRPr="006C46AB">
        <w:rPr>
          <w:rFonts w:asciiTheme="majorHAnsi" w:hAnsiTheme="majorHAnsi"/>
          <w:sz w:val="20"/>
          <w:szCs w:val="20"/>
        </w:rPr>
        <w:t xml:space="preserve"> </w:t>
      </w:r>
      <w:proofErr w:type="spellStart"/>
      <w:r w:rsidR="00D45EE9" w:rsidRPr="006C46AB">
        <w:rPr>
          <w:rFonts w:asciiTheme="majorHAnsi" w:hAnsiTheme="majorHAnsi"/>
          <w:sz w:val="20"/>
          <w:szCs w:val="20"/>
        </w:rPr>
        <w:t>Tenori</w:t>
      </w:r>
      <w:r w:rsidR="00B2100B" w:rsidRPr="006C46AB">
        <w:rPr>
          <w:rFonts w:asciiTheme="majorHAnsi" w:hAnsiTheme="majorHAnsi"/>
          <w:sz w:val="20"/>
          <w:szCs w:val="20"/>
        </w:rPr>
        <w:t>o</w:t>
      </w:r>
      <w:proofErr w:type="spellEnd"/>
      <w:r w:rsidR="00B2100B" w:rsidRPr="006C46AB">
        <w:rPr>
          <w:rFonts w:asciiTheme="majorHAnsi" w:hAnsiTheme="majorHAnsi"/>
          <w:sz w:val="20"/>
          <w:szCs w:val="20"/>
        </w:rPr>
        <w:t xml:space="preserve"> AR, Chan ES, </w:t>
      </w:r>
      <w:r w:rsidR="00D45EE9" w:rsidRPr="006C46AB">
        <w:rPr>
          <w:rFonts w:asciiTheme="majorHAnsi" w:hAnsiTheme="majorHAnsi"/>
          <w:sz w:val="20"/>
          <w:szCs w:val="20"/>
        </w:rPr>
        <w:t>Bosch</w:t>
      </w:r>
      <w:r w:rsidR="00B2100B" w:rsidRPr="006C46AB">
        <w:rPr>
          <w:rFonts w:asciiTheme="majorHAnsi" w:hAnsiTheme="majorHAnsi"/>
          <w:sz w:val="20"/>
          <w:szCs w:val="20"/>
        </w:rPr>
        <w:t xml:space="preserve"> RJ, </w:t>
      </w:r>
      <w:r w:rsidR="00A0494D" w:rsidRPr="006C46AB">
        <w:rPr>
          <w:rFonts w:asciiTheme="majorHAnsi" w:hAnsiTheme="majorHAnsi"/>
          <w:sz w:val="20"/>
          <w:szCs w:val="20"/>
        </w:rPr>
        <w:t>et al</w:t>
      </w:r>
      <w:r w:rsidR="00B2100B" w:rsidRPr="006C46AB">
        <w:rPr>
          <w:rFonts w:asciiTheme="majorHAnsi" w:hAnsiTheme="majorHAnsi"/>
          <w:sz w:val="20"/>
          <w:szCs w:val="20"/>
        </w:rPr>
        <w:t>.</w:t>
      </w:r>
      <w:r w:rsidR="00D45EE9" w:rsidRPr="006C46AB">
        <w:rPr>
          <w:rFonts w:asciiTheme="majorHAnsi" w:hAnsiTheme="majorHAnsi"/>
          <w:sz w:val="20"/>
          <w:szCs w:val="20"/>
        </w:rPr>
        <w:t xml:space="preserve"> </w:t>
      </w:r>
      <w:proofErr w:type="spellStart"/>
      <w:r w:rsidR="00D45EE9" w:rsidRPr="006C46AB">
        <w:rPr>
          <w:rFonts w:asciiTheme="majorHAnsi" w:hAnsiTheme="majorHAnsi"/>
          <w:sz w:val="20"/>
          <w:szCs w:val="20"/>
        </w:rPr>
        <w:t>Rifaximin</w:t>
      </w:r>
      <w:proofErr w:type="spellEnd"/>
      <w:r w:rsidR="00D45EE9" w:rsidRPr="006C46AB">
        <w:rPr>
          <w:rFonts w:asciiTheme="majorHAnsi" w:hAnsiTheme="majorHAnsi"/>
          <w:sz w:val="20"/>
          <w:szCs w:val="20"/>
        </w:rPr>
        <w:t xml:space="preserve"> has a Marginal Impact on Microbial Translocation, T-cell Activation and Inflammation in HIV-Positive Immune Non-responders to Antiretroviral Therapy – ACTG A5286</w:t>
      </w:r>
      <w:r w:rsidR="00B2100B" w:rsidRPr="006C46AB">
        <w:rPr>
          <w:rFonts w:asciiTheme="majorHAnsi" w:hAnsiTheme="majorHAnsi"/>
          <w:sz w:val="20"/>
          <w:szCs w:val="20"/>
        </w:rPr>
        <w:t xml:space="preserve">. J Infect Dis 2015; </w:t>
      </w:r>
      <w:r w:rsidR="00B2100B" w:rsidRPr="006C46AB">
        <w:rPr>
          <w:rFonts w:asciiTheme="majorHAnsi" w:hAnsiTheme="majorHAnsi" w:cs="Times New Roman"/>
          <w:sz w:val="20"/>
          <w:szCs w:val="20"/>
          <w:lang w:val="en-US"/>
        </w:rPr>
        <w:t>211:780–90.</w:t>
      </w:r>
    </w:p>
    <w:p w14:paraId="392C97B0" w14:textId="77777777" w:rsidR="00CC6C02" w:rsidRPr="006C46AB" w:rsidRDefault="00CC6C02" w:rsidP="0025423E">
      <w:pPr>
        <w:widowControl w:val="0"/>
        <w:spacing w:line="360" w:lineRule="auto"/>
        <w:rPr>
          <w:rFonts w:asciiTheme="majorHAnsi" w:hAnsiTheme="majorHAnsi" w:cs="Times New Roman"/>
          <w:sz w:val="20"/>
          <w:szCs w:val="20"/>
          <w:lang w:val="en-US"/>
        </w:rPr>
      </w:pPr>
    </w:p>
    <w:p w14:paraId="12BC06CA" w14:textId="6B530A57" w:rsidR="009A6302" w:rsidRPr="006C46AB" w:rsidRDefault="00CC6C02" w:rsidP="00CC6C02">
      <w:pPr>
        <w:widowControl w:val="0"/>
        <w:spacing w:line="360" w:lineRule="auto"/>
        <w:rPr>
          <w:rFonts w:asciiTheme="majorHAnsi" w:hAnsiTheme="majorHAnsi" w:cs="Times New Roman"/>
          <w:sz w:val="20"/>
          <w:szCs w:val="20"/>
          <w:lang w:val="en-US"/>
        </w:rPr>
      </w:pPr>
      <w:r w:rsidRPr="006C46AB">
        <w:rPr>
          <w:rFonts w:asciiTheme="majorHAnsi" w:hAnsiTheme="majorHAnsi" w:cs="Times New Roman"/>
          <w:sz w:val="20"/>
          <w:szCs w:val="20"/>
          <w:lang w:val="en-US"/>
        </w:rPr>
        <w:t>16</w:t>
      </w:r>
      <w:r w:rsidR="00837215" w:rsidRPr="006C46AB">
        <w:rPr>
          <w:rFonts w:asciiTheme="majorHAnsi" w:hAnsiTheme="majorHAnsi" w:cs="Times New Roman"/>
          <w:sz w:val="20"/>
          <w:szCs w:val="20"/>
          <w:lang w:val="en-US"/>
        </w:rPr>
        <w:t xml:space="preserve"> </w:t>
      </w:r>
      <w:r w:rsidR="006C3DFD" w:rsidRPr="006C46AB">
        <w:rPr>
          <w:rFonts w:asciiTheme="majorHAnsi" w:hAnsiTheme="majorHAnsi" w:cs="Times New Roman"/>
          <w:sz w:val="20"/>
          <w:szCs w:val="20"/>
          <w:lang w:val="en-US"/>
        </w:rPr>
        <w:t xml:space="preserve">Giorgio V, </w:t>
      </w:r>
      <w:proofErr w:type="spellStart"/>
      <w:r w:rsidR="006C3DFD" w:rsidRPr="006C46AB">
        <w:rPr>
          <w:rFonts w:asciiTheme="majorHAnsi" w:hAnsiTheme="majorHAnsi" w:cs="Times New Roman"/>
          <w:sz w:val="20"/>
          <w:szCs w:val="20"/>
          <w:lang w:val="en-US"/>
        </w:rPr>
        <w:t>Miele</w:t>
      </w:r>
      <w:proofErr w:type="spellEnd"/>
      <w:r w:rsidR="006C3DFD" w:rsidRPr="006C46AB">
        <w:rPr>
          <w:rFonts w:asciiTheme="majorHAnsi" w:hAnsiTheme="majorHAnsi" w:cs="Times New Roman"/>
          <w:sz w:val="20"/>
          <w:szCs w:val="20"/>
          <w:lang w:val="en-US"/>
        </w:rPr>
        <w:t xml:space="preserve"> L, </w:t>
      </w:r>
      <w:proofErr w:type="spellStart"/>
      <w:r w:rsidR="006C3DFD" w:rsidRPr="006C46AB">
        <w:rPr>
          <w:rFonts w:asciiTheme="majorHAnsi" w:hAnsiTheme="majorHAnsi" w:cs="Times New Roman"/>
          <w:sz w:val="20"/>
          <w:szCs w:val="20"/>
          <w:lang w:val="en-US"/>
        </w:rPr>
        <w:t>Principessa</w:t>
      </w:r>
      <w:proofErr w:type="spellEnd"/>
      <w:r w:rsidR="006C3DFD" w:rsidRPr="006C46AB">
        <w:rPr>
          <w:rFonts w:asciiTheme="majorHAnsi" w:hAnsiTheme="majorHAnsi" w:cs="Times New Roman"/>
          <w:sz w:val="20"/>
          <w:szCs w:val="20"/>
          <w:lang w:val="en-US"/>
        </w:rPr>
        <w:t xml:space="preserve"> L, </w:t>
      </w:r>
      <w:r w:rsidR="00A0494D" w:rsidRPr="006C46AB">
        <w:rPr>
          <w:rFonts w:asciiTheme="majorHAnsi" w:hAnsiTheme="majorHAnsi" w:cs="Times New Roman"/>
          <w:sz w:val="20"/>
          <w:szCs w:val="20"/>
          <w:lang w:val="en-US"/>
        </w:rPr>
        <w:t>et al</w:t>
      </w:r>
      <w:r w:rsidR="006C3DFD" w:rsidRPr="006C46AB">
        <w:rPr>
          <w:rFonts w:asciiTheme="majorHAnsi" w:hAnsiTheme="majorHAnsi" w:cs="Times New Roman"/>
          <w:sz w:val="20"/>
          <w:szCs w:val="20"/>
          <w:lang w:val="en-US"/>
        </w:rPr>
        <w:t>.</w:t>
      </w:r>
      <w:r w:rsidR="00A0494D" w:rsidRPr="006C46AB">
        <w:rPr>
          <w:rFonts w:asciiTheme="majorHAnsi" w:hAnsiTheme="majorHAnsi" w:cs="Times New Roman"/>
          <w:sz w:val="20"/>
          <w:szCs w:val="20"/>
          <w:lang w:val="en-US"/>
        </w:rPr>
        <w:t xml:space="preserve"> </w:t>
      </w:r>
      <w:r w:rsidR="006C3DFD" w:rsidRPr="006C46AB">
        <w:rPr>
          <w:rFonts w:asciiTheme="majorHAnsi" w:hAnsiTheme="majorHAnsi" w:cs="Times New Roman"/>
          <w:sz w:val="20"/>
          <w:szCs w:val="20"/>
          <w:lang w:val="en-US"/>
        </w:rPr>
        <w:t>Intestinal permeability is increased in children with non-alcoholic fatty liver disease, and correlates with liver disease severity. Dig Liver Dis 2014;</w:t>
      </w:r>
      <w:r w:rsidR="00283F54" w:rsidRPr="006C46AB">
        <w:rPr>
          <w:rFonts w:asciiTheme="majorHAnsi" w:hAnsiTheme="majorHAnsi" w:cs="Times New Roman"/>
          <w:sz w:val="20"/>
          <w:szCs w:val="20"/>
          <w:lang w:val="en-US"/>
        </w:rPr>
        <w:t xml:space="preserve"> </w:t>
      </w:r>
      <w:r w:rsidR="006C3DFD" w:rsidRPr="006C46AB">
        <w:rPr>
          <w:rFonts w:asciiTheme="majorHAnsi" w:hAnsiTheme="majorHAnsi" w:cs="Times New Roman"/>
          <w:sz w:val="20"/>
          <w:szCs w:val="20"/>
          <w:lang w:val="en-US"/>
        </w:rPr>
        <w:t>46:</w:t>
      </w:r>
      <w:r w:rsidR="00283F54" w:rsidRPr="006C46AB">
        <w:rPr>
          <w:rFonts w:asciiTheme="majorHAnsi" w:hAnsiTheme="majorHAnsi" w:cs="Times New Roman"/>
          <w:sz w:val="20"/>
          <w:szCs w:val="20"/>
          <w:lang w:val="en-US"/>
        </w:rPr>
        <w:t xml:space="preserve"> </w:t>
      </w:r>
      <w:r w:rsidR="006C3DFD" w:rsidRPr="006C46AB">
        <w:rPr>
          <w:rFonts w:asciiTheme="majorHAnsi" w:hAnsiTheme="majorHAnsi" w:cs="Times New Roman"/>
          <w:sz w:val="20"/>
          <w:szCs w:val="20"/>
          <w:lang w:val="en-US"/>
        </w:rPr>
        <w:t xml:space="preserve">556-60. </w:t>
      </w:r>
    </w:p>
    <w:p w14:paraId="0AD99535" w14:textId="7A931720" w:rsidR="009A6302" w:rsidRPr="006C46AB" w:rsidRDefault="009A6302" w:rsidP="0025423E">
      <w:pPr>
        <w:widowControl w:val="0"/>
        <w:spacing w:line="360" w:lineRule="auto"/>
        <w:rPr>
          <w:rFonts w:asciiTheme="majorHAnsi" w:hAnsiTheme="majorHAnsi"/>
          <w:sz w:val="20"/>
          <w:szCs w:val="20"/>
        </w:rPr>
      </w:pPr>
    </w:p>
    <w:p w14:paraId="225468DC" w14:textId="18CE0724" w:rsidR="00E1160A" w:rsidRPr="006C46AB" w:rsidRDefault="00837215" w:rsidP="0025423E">
      <w:pPr>
        <w:widowControl w:val="0"/>
        <w:spacing w:line="360" w:lineRule="auto"/>
        <w:rPr>
          <w:rFonts w:asciiTheme="majorHAnsi" w:hAnsiTheme="majorHAnsi" w:cs="Times New Roman"/>
          <w:sz w:val="20"/>
          <w:szCs w:val="14"/>
          <w:lang w:val="en-US"/>
        </w:rPr>
      </w:pPr>
      <w:r w:rsidRPr="006C46AB">
        <w:rPr>
          <w:rFonts w:asciiTheme="majorHAnsi" w:hAnsiTheme="majorHAnsi"/>
          <w:sz w:val="20"/>
          <w:szCs w:val="20"/>
        </w:rPr>
        <w:t>17</w:t>
      </w:r>
      <w:r w:rsidR="00E1160A" w:rsidRPr="006C46AB">
        <w:rPr>
          <w:rFonts w:asciiTheme="majorHAnsi" w:hAnsiTheme="majorHAnsi"/>
          <w:sz w:val="20"/>
          <w:szCs w:val="20"/>
        </w:rPr>
        <w:t xml:space="preserve"> </w:t>
      </w:r>
      <w:proofErr w:type="spellStart"/>
      <w:r w:rsidR="00CC6C02" w:rsidRPr="006C46AB">
        <w:rPr>
          <w:rFonts w:asciiTheme="majorHAnsi" w:hAnsiTheme="majorHAnsi"/>
          <w:sz w:val="20"/>
          <w:szCs w:val="20"/>
        </w:rPr>
        <w:t>Marchiando</w:t>
      </w:r>
      <w:proofErr w:type="spellEnd"/>
      <w:r w:rsidR="00CC6C02" w:rsidRPr="006C46AB">
        <w:rPr>
          <w:rFonts w:asciiTheme="majorHAnsi" w:hAnsiTheme="majorHAnsi"/>
          <w:sz w:val="20"/>
          <w:szCs w:val="20"/>
        </w:rPr>
        <w:t xml:space="preserve"> AM, Graham WV, Turner JR. </w:t>
      </w:r>
      <w:r w:rsidR="00CC6C02" w:rsidRPr="006C46AB">
        <w:rPr>
          <w:rFonts w:asciiTheme="majorHAnsi" w:hAnsiTheme="majorHAnsi" w:cs="Times New Roman"/>
          <w:sz w:val="20"/>
          <w:szCs w:val="20"/>
          <w:lang w:val="en-US"/>
        </w:rPr>
        <w:t xml:space="preserve">Epithelial Barriers in Homeostasis and Disease. </w:t>
      </w:r>
      <w:proofErr w:type="spellStart"/>
      <w:r w:rsidR="00CC6C02" w:rsidRPr="006C46AB">
        <w:rPr>
          <w:rFonts w:asciiTheme="majorHAnsi" w:hAnsiTheme="majorHAnsi" w:cs="Times New Roman"/>
          <w:sz w:val="20"/>
          <w:szCs w:val="20"/>
          <w:lang w:val="en-US"/>
        </w:rPr>
        <w:t>Annu</w:t>
      </w:r>
      <w:proofErr w:type="spellEnd"/>
      <w:r w:rsidR="00CC6C02" w:rsidRPr="006C46AB">
        <w:rPr>
          <w:rFonts w:asciiTheme="majorHAnsi" w:hAnsiTheme="majorHAnsi" w:cs="Times New Roman"/>
          <w:sz w:val="20"/>
          <w:szCs w:val="20"/>
          <w:lang w:val="en-US"/>
        </w:rPr>
        <w:t xml:space="preserve">. Rev. </w:t>
      </w:r>
      <w:proofErr w:type="spellStart"/>
      <w:r w:rsidR="00CC6C02" w:rsidRPr="006C46AB">
        <w:rPr>
          <w:rFonts w:asciiTheme="majorHAnsi" w:hAnsiTheme="majorHAnsi" w:cs="Times New Roman"/>
          <w:sz w:val="20"/>
          <w:szCs w:val="20"/>
          <w:lang w:val="en-US"/>
        </w:rPr>
        <w:t>Pathol</w:t>
      </w:r>
      <w:proofErr w:type="spellEnd"/>
      <w:r w:rsidR="00CC6C02" w:rsidRPr="006C46AB">
        <w:rPr>
          <w:rFonts w:asciiTheme="majorHAnsi" w:hAnsiTheme="majorHAnsi" w:cs="Times New Roman"/>
          <w:sz w:val="20"/>
          <w:szCs w:val="20"/>
          <w:lang w:val="en-US"/>
        </w:rPr>
        <w:t>. Mech. Dis. 2010. 5:119–44</w:t>
      </w:r>
    </w:p>
    <w:p w14:paraId="4CD5ED12" w14:textId="77777777" w:rsidR="003D415A" w:rsidRPr="006C46AB" w:rsidRDefault="003D415A" w:rsidP="00031246">
      <w:pPr>
        <w:widowControl w:val="0"/>
        <w:spacing w:line="360" w:lineRule="auto"/>
        <w:rPr>
          <w:rFonts w:asciiTheme="majorHAnsi" w:hAnsiTheme="majorHAnsi"/>
          <w:sz w:val="20"/>
          <w:szCs w:val="20"/>
        </w:rPr>
      </w:pPr>
    </w:p>
    <w:p w14:paraId="11BD6BDD" w14:textId="5721F1AD" w:rsidR="00AA34C6" w:rsidRPr="006C46AB" w:rsidRDefault="00837215" w:rsidP="00AA34C6">
      <w:pPr>
        <w:widowControl w:val="0"/>
        <w:spacing w:line="360" w:lineRule="auto"/>
        <w:rPr>
          <w:rFonts w:asciiTheme="majorHAnsi" w:hAnsiTheme="majorHAnsi"/>
          <w:sz w:val="20"/>
          <w:szCs w:val="20"/>
        </w:rPr>
      </w:pPr>
      <w:r w:rsidRPr="006C46AB">
        <w:rPr>
          <w:rFonts w:asciiTheme="majorHAnsi" w:hAnsiTheme="majorHAnsi"/>
          <w:sz w:val="20"/>
          <w:szCs w:val="20"/>
        </w:rPr>
        <w:t>18</w:t>
      </w:r>
      <w:r w:rsidR="00E1160A" w:rsidRPr="006C46AB">
        <w:rPr>
          <w:rFonts w:asciiTheme="majorHAnsi" w:hAnsiTheme="majorHAnsi"/>
          <w:sz w:val="20"/>
          <w:szCs w:val="20"/>
        </w:rPr>
        <w:t xml:space="preserve"> </w:t>
      </w:r>
      <w:r w:rsidR="00AA34C6" w:rsidRPr="006C46AB">
        <w:rPr>
          <w:rFonts w:asciiTheme="majorHAnsi" w:hAnsiTheme="majorHAnsi"/>
          <w:sz w:val="20"/>
          <w:szCs w:val="20"/>
        </w:rPr>
        <w:t xml:space="preserve">Mizuno T, Yokoyama Y, </w:t>
      </w:r>
      <w:proofErr w:type="spellStart"/>
      <w:r w:rsidR="00AA34C6" w:rsidRPr="006C46AB">
        <w:rPr>
          <w:rFonts w:asciiTheme="majorHAnsi" w:hAnsiTheme="majorHAnsi"/>
          <w:sz w:val="20"/>
          <w:szCs w:val="20"/>
        </w:rPr>
        <w:t>Nishio</w:t>
      </w:r>
      <w:proofErr w:type="spellEnd"/>
      <w:r w:rsidR="00AA34C6" w:rsidRPr="006C46AB">
        <w:rPr>
          <w:rFonts w:asciiTheme="majorHAnsi" w:hAnsiTheme="majorHAnsi"/>
          <w:sz w:val="20"/>
          <w:szCs w:val="20"/>
        </w:rPr>
        <w:t xml:space="preserve"> H, </w:t>
      </w:r>
      <w:r w:rsidR="00A0494D" w:rsidRPr="006C46AB">
        <w:rPr>
          <w:rFonts w:asciiTheme="majorHAnsi" w:hAnsiTheme="majorHAnsi"/>
          <w:sz w:val="20"/>
          <w:szCs w:val="20"/>
        </w:rPr>
        <w:t>et al</w:t>
      </w:r>
      <w:r w:rsidR="00AA34C6" w:rsidRPr="006C46AB">
        <w:rPr>
          <w:rFonts w:asciiTheme="majorHAnsi" w:hAnsiTheme="majorHAnsi"/>
          <w:sz w:val="20"/>
          <w:szCs w:val="20"/>
        </w:rPr>
        <w:t xml:space="preserve">. </w:t>
      </w:r>
      <w:r w:rsidR="009A6302" w:rsidRPr="006C46AB">
        <w:rPr>
          <w:rFonts w:asciiTheme="majorHAnsi" w:hAnsiTheme="majorHAnsi"/>
          <w:sz w:val="20"/>
          <w:szCs w:val="20"/>
        </w:rPr>
        <w:t>I</w:t>
      </w:r>
      <w:r w:rsidR="00AA34C6" w:rsidRPr="006C46AB">
        <w:rPr>
          <w:rFonts w:asciiTheme="majorHAnsi" w:hAnsiTheme="majorHAnsi"/>
          <w:sz w:val="20"/>
          <w:szCs w:val="20"/>
        </w:rPr>
        <w:t xml:space="preserve">ntraoperative bacterial translocation detected by bacterium-specific ribosomal RNA-targeted </w:t>
      </w:r>
      <w:r w:rsidR="009A6302" w:rsidRPr="006C46AB">
        <w:rPr>
          <w:rFonts w:asciiTheme="majorHAnsi" w:hAnsiTheme="majorHAnsi"/>
          <w:sz w:val="20"/>
          <w:szCs w:val="20"/>
        </w:rPr>
        <w:t>r</w:t>
      </w:r>
      <w:r w:rsidR="00AA34C6" w:rsidRPr="006C46AB">
        <w:rPr>
          <w:rFonts w:asciiTheme="majorHAnsi" w:hAnsiTheme="majorHAnsi"/>
          <w:sz w:val="20"/>
          <w:szCs w:val="20"/>
        </w:rPr>
        <w:t xml:space="preserve">everse-transcriptase polymerase chain reaction for the mesenteric lymph node strongly predicts postoperative infectious complications after major </w:t>
      </w:r>
      <w:proofErr w:type="spellStart"/>
      <w:r w:rsidR="00AA34C6" w:rsidRPr="006C46AB">
        <w:rPr>
          <w:rFonts w:asciiTheme="majorHAnsi" w:hAnsiTheme="majorHAnsi"/>
          <w:sz w:val="20"/>
          <w:szCs w:val="20"/>
        </w:rPr>
        <w:t>hepatectomy</w:t>
      </w:r>
      <w:proofErr w:type="spellEnd"/>
      <w:r w:rsidR="00AA34C6" w:rsidRPr="006C46AB">
        <w:rPr>
          <w:rFonts w:asciiTheme="majorHAnsi" w:hAnsiTheme="majorHAnsi"/>
          <w:sz w:val="20"/>
          <w:szCs w:val="20"/>
        </w:rPr>
        <w:t xml:space="preserve"> for biliary malignancies</w:t>
      </w:r>
      <w:r w:rsidR="009A6302" w:rsidRPr="006C46AB">
        <w:rPr>
          <w:rFonts w:asciiTheme="majorHAnsi" w:hAnsiTheme="majorHAnsi"/>
          <w:sz w:val="20"/>
          <w:szCs w:val="20"/>
        </w:rPr>
        <w:t xml:space="preserve">. </w:t>
      </w:r>
      <w:r w:rsidR="009A6302" w:rsidRPr="006C46AB">
        <w:rPr>
          <w:rFonts w:asciiTheme="majorHAnsi" w:hAnsiTheme="majorHAnsi" w:cs="Times New Roman"/>
          <w:sz w:val="20"/>
          <w:szCs w:val="20"/>
          <w:lang w:val="en-US"/>
        </w:rPr>
        <w:t xml:space="preserve">Ann </w:t>
      </w:r>
      <w:proofErr w:type="spellStart"/>
      <w:r w:rsidR="009A6302" w:rsidRPr="006C46AB">
        <w:rPr>
          <w:rFonts w:asciiTheme="majorHAnsi" w:hAnsiTheme="majorHAnsi" w:cs="Times New Roman"/>
          <w:sz w:val="20"/>
          <w:szCs w:val="20"/>
          <w:lang w:val="en-US"/>
        </w:rPr>
        <w:t>Surg</w:t>
      </w:r>
      <w:proofErr w:type="spellEnd"/>
      <w:r w:rsidR="009A6302" w:rsidRPr="006C46AB">
        <w:rPr>
          <w:rFonts w:asciiTheme="majorHAnsi" w:hAnsiTheme="majorHAnsi" w:cs="Times New Roman"/>
          <w:sz w:val="20"/>
          <w:szCs w:val="20"/>
          <w:lang w:val="en-US"/>
        </w:rPr>
        <w:t xml:space="preserve"> 2010;</w:t>
      </w:r>
      <w:r w:rsidR="00283F54" w:rsidRPr="006C46AB">
        <w:rPr>
          <w:rFonts w:asciiTheme="majorHAnsi" w:hAnsiTheme="majorHAnsi" w:cs="Times New Roman"/>
          <w:sz w:val="20"/>
          <w:szCs w:val="20"/>
          <w:lang w:val="en-US"/>
        </w:rPr>
        <w:t xml:space="preserve"> </w:t>
      </w:r>
      <w:r w:rsidR="009A6302" w:rsidRPr="006C46AB">
        <w:rPr>
          <w:rFonts w:asciiTheme="majorHAnsi" w:hAnsiTheme="majorHAnsi" w:cs="Times New Roman"/>
          <w:sz w:val="20"/>
          <w:szCs w:val="20"/>
          <w:lang w:val="en-US"/>
        </w:rPr>
        <w:t>252:</w:t>
      </w:r>
      <w:r w:rsidR="00283F54" w:rsidRPr="006C46AB">
        <w:rPr>
          <w:rFonts w:asciiTheme="majorHAnsi" w:hAnsiTheme="majorHAnsi" w:cs="Times New Roman"/>
          <w:sz w:val="20"/>
          <w:szCs w:val="20"/>
          <w:lang w:val="en-US"/>
        </w:rPr>
        <w:t xml:space="preserve"> </w:t>
      </w:r>
      <w:r w:rsidR="009A6302" w:rsidRPr="006C46AB">
        <w:rPr>
          <w:rFonts w:asciiTheme="majorHAnsi" w:hAnsiTheme="majorHAnsi" w:cs="Times New Roman"/>
          <w:sz w:val="20"/>
          <w:szCs w:val="20"/>
          <w:lang w:val="en-US"/>
        </w:rPr>
        <w:t>1013–1019.</w:t>
      </w:r>
    </w:p>
    <w:p w14:paraId="1C755C58" w14:textId="77777777" w:rsidR="00032126" w:rsidRPr="006C46AB" w:rsidRDefault="00032126" w:rsidP="00032126">
      <w:pPr>
        <w:widowControl w:val="0"/>
        <w:spacing w:line="360" w:lineRule="auto"/>
        <w:rPr>
          <w:rFonts w:asciiTheme="majorHAnsi" w:hAnsiTheme="majorHAnsi"/>
          <w:sz w:val="20"/>
          <w:szCs w:val="20"/>
        </w:rPr>
      </w:pPr>
    </w:p>
    <w:p w14:paraId="6A830CFC" w14:textId="149B9D3A" w:rsidR="00691E64" w:rsidRPr="006C46AB" w:rsidRDefault="00837215" w:rsidP="00691E64">
      <w:pPr>
        <w:widowControl w:val="0"/>
        <w:spacing w:line="360" w:lineRule="auto"/>
        <w:rPr>
          <w:rFonts w:asciiTheme="majorHAnsi" w:hAnsiTheme="majorHAnsi"/>
          <w:sz w:val="20"/>
          <w:szCs w:val="20"/>
        </w:rPr>
      </w:pPr>
      <w:r w:rsidRPr="006C46AB">
        <w:rPr>
          <w:rFonts w:asciiTheme="majorHAnsi" w:hAnsiTheme="majorHAnsi"/>
          <w:sz w:val="20"/>
          <w:szCs w:val="20"/>
        </w:rPr>
        <w:t>19</w:t>
      </w:r>
      <w:r w:rsidR="00691E64" w:rsidRPr="006C46AB">
        <w:rPr>
          <w:rFonts w:asciiTheme="majorHAnsi" w:hAnsiTheme="majorHAnsi"/>
          <w:sz w:val="20"/>
          <w:szCs w:val="20"/>
        </w:rPr>
        <w:t xml:space="preserve"> Salazar-</w:t>
      </w:r>
      <w:proofErr w:type="spellStart"/>
      <w:r w:rsidR="00691E64" w:rsidRPr="006C46AB">
        <w:rPr>
          <w:rFonts w:asciiTheme="majorHAnsi" w:hAnsiTheme="majorHAnsi"/>
          <w:sz w:val="20"/>
          <w:szCs w:val="20"/>
        </w:rPr>
        <w:t>Lindo</w:t>
      </w:r>
      <w:proofErr w:type="spellEnd"/>
      <w:r w:rsidR="00691E64" w:rsidRPr="006C46AB">
        <w:rPr>
          <w:rFonts w:asciiTheme="majorHAnsi" w:hAnsiTheme="majorHAnsi"/>
          <w:sz w:val="20"/>
          <w:szCs w:val="20"/>
        </w:rPr>
        <w:t xml:space="preserve"> E, Allen S, Brewster DR, </w:t>
      </w:r>
      <w:r w:rsidR="00A0494D" w:rsidRPr="006C46AB">
        <w:rPr>
          <w:rFonts w:asciiTheme="majorHAnsi" w:hAnsiTheme="majorHAnsi"/>
          <w:sz w:val="20"/>
          <w:szCs w:val="20"/>
        </w:rPr>
        <w:t>et al</w:t>
      </w:r>
      <w:r w:rsidR="00691E64" w:rsidRPr="006C46AB">
        <w:rPr>
          <w:rFonts w:asciiTheme="majorHAnsi" w:hAnsiTheme="majorHAnsi"/>
          <w:sz w:val="20"/>
          <w:szCs w:val="20"/>
        </w:rPr>
        <w:t xml:space="preserve">. Intestinal Infections and Environmental Enteropathy: Working Group Report of the Second World Congress of </w:t>
      </w:r>
      <w:proofErr w:type="spellStart"/>
      <w:r w:rsidR="00691E64" w:rsidRPr="006C46AB">
        <w:rPr>
          <w:rFonts w:asciiTheme="majorHAnsi" w:hAnsiTheme="majorHAnsi"/>
          <w:sz w:val="20"/>
          <w:szCs w:val="20"/>
        </w:rPr>
        <w:t>Pediatric</w:t>
      </w:r>
      <w:proofErr w:type="spellEnd"/>
      <w:r w:rsidR="00691E64" w:rsidRPr="006C46AB">
        <w:rPr>
          <w:rFonts w:asciiTheme="majorHAnsi" w:hAnsiTheme="majorHAnsi"/>
          <w:sz w:val="20"/>
          <w:szCs w:val="20"/>
        </w:rPr>
        <w:t xml:space="preserve"> Gastroenterology, Hepatology, and Nutrition. J </w:t>
      </w:r>
      <w:proofErr w:type="spellStart"/>
      <w:r w:rsidR="00691E64" w:rsidRPr="006C46AB">
        <w:rPr>
          <w:rFonts w:asciiTheme="majorHAnsi" w:hAnsiTheme="majorHAnsi"/>
          <w:sz w:val="20"/>
          <w:szCs w:val="20"/>
        </w:rPr>
        <w:t>Ped</w:t>
      </w:r>
      <w:proofErr w:type="spellEnd"/>
      <w:r w:rsidR="00691E64" w:rsidRPr="006C46AB">
        <w:rPr>
          <w:rFonts w:asciiTheme="majorHAnsi" w:hAnsiTheme="majorHAnsi"/>
          <w:sz w:val="20"/>
          <w:szCs w:val="20"/>
        </w:rPr>
        <w:t xml:space="preserve"> </w:t>
      </w:r>
      <w:proofErr w:type="spellStart"/>
      <w:r w:rsidR="00691E64" w:rsidRPr="006C46AB">
        <w:rPr>
          <w:rFonts w:asciiTheme="majorHAnsi" w:hAnsiTheme="majorHAnsi"/>
          <w:sz w:val="20"/>
          <w:szCs w:val="20"/>
        </w:rPr>
        <w:t>Gastrenterol</w:t>
      </w:r>
      <w:proofErr w:type="spellEnd"/>
      <w:r w:rsidR="00691E64" w:rsidRPr="006C46AB">
        <w:rPr>
          <w:rFonts w:asciiTheme="majorHAnsi" w:hAnsiTheme="majorHAnsi"/>
          <w:sz w:val="20"/>
          <w:szCs w:val="20"/>
        </w:rPr>
        <w:t xml:space="preserve"> </w:t>
      </w:r>
      <w:proofErr w:type="spellStart"/>
      <w:r w:rsidR="00691E64" w:rsidRPr="006C46AB">
        <w:rPr>
          <w:rFonts w:asciiTheme="majorHAnsi" w:hAnsiTheme="majorHAnsi"/>
          <w:sz w:val="20"/>
          <w:szCs w:val="20"/>
        </w:rPr>
        <w:t>Nutr</w:t>
      </w:r>
      <w:proofErr w:type="spellEnd"/>
      <w:r w:rsidR="00691E64" w:rsidRPr="006C46AB">
        <w:rPr>
          <w:rFonts w:asciiTheme="majorHAnsi" w:hAnsiTheme="majorHAnsi"/>
          <w:sz w:val="20"/>
          <w:szCs w:val="20"/>
        </w:rPr>
        <w:t xml:space="preserve"> 2003; </w:t>
      </w:r>
      <w:r w:rsidR="00691E64" w:rsidRPr="006C46AB">
        <w:rPr>
          <w:rFonts w:asciiTheme="majorHAnsi" w:hAnsiTheme="majorHAnsi" w:cs="Times New Roman"/>
          <w:sz w:val="20"/>
          <w:szCs w:val="20"/>
          <w:lang w:val="en-US"/>
        </w:rPr>
        <w:t>39: S662–S669.</w:t>
      </w:r>
    </w:p>
    <w:p w14:paraId="40960D2B" w14:textId="77777777" w:rsidR="00691E64" w:rsidRPr="006C46AB" w:rsidRDefault="00691E64" w:rsidP="00691E64">
      <w:pPr>
        <w:widowControl w:val="0"/>
        <w:spacing w:line="360" w:lineRule="auto"/>
        <w:rPr>
          <w:rFonts w:asciiTheme="majorHAnsi" w:hAnsiTheme="majorHAnsi"/>
          <w:sz w:val="20"/>
          <w:szCs w:val="20"/>
        </w:rPr>
      </w:pPr>
    </w:p>
    <w:p w14:paraId="5783FA7E" w14:textId="52F8E3FA" w:rsidR="00691E64" w:rsidRPr="006C46AB" w:rsidRDefault="00837215" w:rsidP="00691E64">
      <w:pPr>
        <w:widowControl w:val="0"/>
        <w:tabs>
          <w:tab w:val="left" w:pos="-720"/>
        </w:tabs>
        <w:suppressAutoHyphens/>
        <w:spacing w:line="360" w:lineRule="auto"/>
        <w:jc w:val="both"/>
        <w:rPr>
          <w:rFonts w:asciiTheme="majorHAnsi" w:hAnsiTheme="majorHAnsi"/>
          <w:sz w:val="20"/>
        </w:rPr>
      </w:pPr>
      <w:r w:rsidRPr="006C46AB">
        <w:rPr>
          <w:rFonts w:asciiTheme="majorHAnsi" w:hAnsiTheme="majorHAnsi"/>
          <w:sz w:val="20"/>
          <w:szCs w:val="20"/>
        </w:rPr>
        <w:t>20</w:t>
      </w:r>
      <w:r w:rsidR="00691E64" w:rsidRPr="006C46AB">
        <w:rPr>
          <w:rFonts w:asciiTheme="majorHAnsi" w:hAnsiTheme="majorHAnsi"/>
          <w:sz w:val="20"/>
          <w:szCs w:val="20"/>
        </w:rPr>
        <w:t xml:space="preserve"> </w:t>
      </w:r>
      <w:r w:rsidR="00691E64" w:rsidRPr="006C46AB">
        <w:rPr>
          <w:rFonts w:asciiTheme="majorHAnsi" w:hAnsiTheme="majorHAnsi"/>
          <w:sz w:val="20"/>
        </w:rPr>
        <w:t xml:space="preserve">Kelly P, </w:t>
      </w:r>
      <w:proofErr w:type="spellStart"/>
      <w:r w:rsidR="00691E64" w:rsidRPr="006C46AB">
        <w:rPr>
          <w:rFonts w:asciiTheme="majorHAnsi" w:hAnsiTheme="majorHAnsi"/>
          <w:sz w:val="20"/>
        </w:rPr>
        <w:t>Menzies</w:t>
      </w:r>
      <w:proofErr w:type="spellEnd"/>
      <w:r w:rsidR="00691E64" w:rsidRPr="006C46AB">
        <w:rPr>
          <w:rFonts w:asciiTheme="majorHAnsi" w:hAnsiTheme="majorHAnsi"/>
          <w:sz w:val="20"/>
        </w:rPr>
        <w:t xml:space="preserve"> I, Crane R, </w:t>
      </w:r>
      <w:r w:rsidR="00A0494D" w:rsidRPr="006C46AB">
        <w:rPr>
          <w:rFonts w:asciiTheme="majorHAnsi" w:hAnsiTheme="majorHAnsi"/>
          <w:sz w:val="20"/>
        </w:rPr>
        <w:t>et al</w:t>
      </w:r>
      <w:r w:rsidR="00691E64" w:rsidRPr="006C46AB">
        <w:rPr>
          <w:rFonts w:asciiTheme="majorHAnsi" w:hAnsiTheme="majorHAnsi"/>
          <w:sz w:val="20"/>
        </w:rPr>
        <w:t xml:space="preserve">. Responses of small intestinal architecture and function over time to environmental factors in a tropical population. Am J Trop Med </w:t>
      </w:r>
      <w:proofErr w:type="spellStart"/>
      <w:r w:rsidR="00691E64" w:rsidRPr="006C46AB">
        <w:rPr>
          <w:rFonts w:asciiTheme="majorHAnsi" w:hAnsiTheme="majorHAnsi"/>
          <w:sz w:val="20"/>
        </w:rPr>
        <w:t>Hyg</w:t>
      </w:r>
      <w:proofErr w:type="spellEnd"/>
      <w:r w:rsidR="00691E64" w:rsidRPr="006C46AB">
        <w:rPr>
          <w:rFonts w:asciiTheme="majorHAnsi" w:hAnsiTheme="majorHAnsi"/>
          <w:sz w:val="20"/>
        </w:rPr>
        <w:t xml:space="preserve"> 2004; 70: 412-419.</w:t>
      </w:r>
    </w:p>
    <w:p w14:paraId="7D2DA5BC" w14:textId="77777777" w:rsidR="00691E64" w:rsidRPr="006C46AB" w:rsidRDefault="00691E64" w:rsidP="00691E64">
      <w:pPr>
        <w:widowControl w:val="0"/>
        <w:spacing w:line="360" w:lineRule="auto"/>
        <w:rPr>
          <w:rFonts w:asciiTheme="majorHAnsi" w:hAnsiTheme="majorHAnsi"/>
          <w:sz w:val="20"/>
          <w:szCs w:val="20"/>
        </w:rPr>
      </w:pPr>
    </w:p>
    <w:p w14:paraId="3EF5B439" w14:textId="2C3AC47B" w:rsidR="00927673" w:rsidRPr="006C46AB" w:rsidRDefault="00837215" w:rsidP="00927673">
      <w:pPr>
        <w:widowControl w:val="0"/>
        <w:spacing w:line="360" w:lineRule="auto"/>
        <w:rPr>
          <w:rFonts w:asciiTheme="majorHAnsi" w:hAnsiTheme="majorHAnsi"/>
          <w:sz w:val="20"/>
          <w:szCs w:val="20"/>
        </w:rPr>
      </w:pPr>
      <w:r w:rsidRPr="006C46AB">
        <w:rPr>
          <w:rFonts w:asciiTheme="majorHAnsi" w:hAnsiTheme="majorHAnsi"/>
          <w:sz w:val="20"/>
          <w:szCs w:val="20"/>
        </w:rPr>
        <w:t>21</w:t>
      </w:r>
      <w:r w:rsidR="00032126" w:rsidRPr="006C46AB">
        <w:rPr>
          <w:rFonts w:asciiTheme="majorHAnsi" w:hAnsiTheme="majorHAnsi"/>
          <w:sz w:val="20"/>
          <w:szCs w:val="20"/>
        </w:rPr>
        <w:t xml:space="preserve"> </w:t>
      </w:r>
      <w:r w:rsidR="00927673" w:rsidRPr="006C46AB">
        <w:rPr>
          <w:rFonts w:asciiTheme="majorHAnsi" w:hAnsiTheme="majorHAnsi"/>
          <w:sz w:val="20"/>
          <w:szCs w:val="20"/>
        </w:rPr>
        <w:t xml:space="preserve">Turner JR. Intestinal mucosal barrier function in health and disease. Ann Rev </w:t>
      </w:r>
      <w:proofErr w:type="spellStart"/>
      <w:r w:rsidR="00927673" w:rsidRPr="006C46AB">
        <w:rPr>
          <w:rFonts w:asciiTheme="majorHAnsi" w:hAnsiTheme="majorHAnsi"/>
          <w:sz w:val="20"/>
          <w:szCs w:val="20"/>
        </w:rPr>
        <w:t>Immunol</w:t>
      </w:r>
      <w:proofErr w:type="spellEnd"/>
      <w:r w:rsidR="00927673" w:rsidRPr="006C46AB">
        <w:rPr>
          <w:rFonts w:asciiTheme="majorHAnsi" w:hAnsiTheme="majorHAnsi"/>
          <w:sz w:val="20"/>
          <w:szCs w:val="20"/>
        </w:rPr>
        <w:t xml:space="preserve"> 2009; 9: 799-809.</w:t>
      </w:r>
    </w:p>
    <w:p w14:paraId="730FD07C" w14:textId="77777777" w:rsidR="00927673" w:rsidRPr="006C46AB" w:rsidRDefault="00927673" w:rsidP="0025423E">
      <w:pPr>
        <w:widowControl w:val="0"/>
        <w:spacing w:line="360" w:lineRule="auto"/>
        <w:rPr>
          <w:rFonts w:asciiTheme="majorHAnsi" w:hAnsiTheme="majorHAnsi"/>
          <w:sz w:val="20"/>
          <w:szCs w:val="20"/>
        </w:rPr>
      </w:pPr>
    </w:p>
    <w:p w14:paraId="72E7B5C3" w14:textId="6E5E77F4" w:rsidR="00032126" w:rsidRPr="006C46AB" w:rsidRDefault="00837215" w:rsidP="00032126">
      <w:pPr>
        <w:widowControl w:val="0"/>
        <w:spacing w:line="360" w:lineRule="auto"/>
        <w:rPr>
          <w:rFonts w:asciiTheme="majorHAnsi" w:hAnsiTheme="majorHAnsi"/>
          <w:sz w:val="20"/>
          <w:szCs w:val="20"/>
        </w:rPr>
      </w:pPr>
      <w:r w:rsidRPr="006C46AB">
        <w:rPr>
          <w:rFonts w:asciiTheme="majorHAnsi" w:hAnsiTheme="majorHAnsi"/>
          <w:sz w:val="20"/>
          <w:szCs w:val="20"/>
        </w:rPr>
        <w:t>22</w:t>
      </w:r>
      <w:r w:rsidR="00032126" w:rsidRPr="006C46AB">
        <w:rPr>
          <w:rFonts w:asciiTheme="majorHAnsi" w:hAnsiTheme="majorHAnsi"/>
          <w:sz w:val="20"/>
          <w:szCs w:val="20"/>
        </w:rPr>
        <w:t xml:space="preserve"> </w:t>
      </w:r>
      <w:proofErr w:type="spellStart"/>
      <w:r w:rsidR="00032126" w:rsidRPr="006C46AB">
        <w:rPr>
          <w:rFonts w:asciiTheme="majorHAnsi" w:hAnsiTheme="majorHAnsi"/>
          <w:sz w:val="20"/>
          <w:szCs w:val="20"/>
        </w:rPr>
        <w:t>Gunzel</w:t>
      </w:r>
      <w:proofErr w:type="spellEnd"/>
      <w:r w:rsidR="00032126" w:rsidRPr="006C46AB">
        <w:rPr>
          <w:rFonts w:asciiTheme="majorHAnsi" w:hAnsiTheme="majorHAnsi"/>
          <w:sz w:val="20"/>
          <w:szCs w:val="20"/>
        </w:rPr>
        <w:t xml:space="preserve"> D, Yu ASL. Claudins and the modulation of tight junction permeability. </w:t>
      </w:r>
      <w:proofErr w:type="spellStart"/>
      <w:r w:rsidR="00032126" w:rsidRPr="006C46AB">
        <w:rPr>
          <w:rFonts w:asciiTheme="majorHAnsi" w:hAnsiTheme="majorHAnsi"/>
          <w:sz w:val="20"/>
          <w:szCs w:val="20"/>
        </w:rPr>
        <w:t>Physiol</w:t>
      </w:r>
      <w:proofErr w:type="spellEnd"/>
      <w:r w:rsidR="00032126" w:rsidRPr="006C46AB">
        <w:rPr>
          <w:rFonts w:asciiTheme="majorHAnsi" w:hAnsiTheme="majorHAnsi"/>
          <w:sz w:val="20"/>
          <w:szCs w:val="20"/>
        </w:rPr>
        <w:t xml:space="preserve"> Rev 2013; </w:t>
      </w:r>
      <w:r w:rsidR="00032126" w:rsidRPr="006C46AB">
        <w:rPr>
          <w:rFonts w:asciiTheme="majorHAnsi" w:hAnsiTheme="majorHAnsi" w:cs="Times New Roman"/>
          <w:sz w:val="20"/>
          <w:szCs w:val="20"/>
          <w:lang w:val="en-US"/>
        </w:rPr>
        <w:t>93: 525–569.</w:t>
      </w:r>
    </w:p>
    <w:p w14:paraId="171099C4" w14:textId="77777777" w:rsidR="00032126" w:rsidRPr="006C46AB" w:rsidRDefault="00032126" w:rsidP="0025423E">
      <w:pPr>
        <w:widowControl w:val="0"/>
        <w:spacing w:line="360" w:lineRule="auto"/>
        <w:rPr>
          <w:rFonts w:asciiTheme="majorHAnsi" w:hAnsiTheme="majorHAnsi"/>
          <w:sz w:val="20"/>
          <w:szCs w:val="20"/>
        </w:rPr>
      </w:pPr>
    </w:p>
    <w:p w14:paraId="392CCC5E" w14:textId="3AC30C65" w:rsidR="00837215" w:rsidRPr="006C46AB" w:rsidRDefault="00837215" w:rsidP="00837215">
      <w:pPr>
        <w:widowControl w:val="0"/>
        <w:spacing w:line="360" w:lineRule="auto"/>
        <w:rPr>
          <w:rFonts w:asciiTheme="majorHAnsi" w:hAnsiTheme="majorHAnsi"/>
          <w:sz w:val="20"/>
          <w:szCs w:val="20"/>
        </w:rPr>
      </w:pPr>
      <w:r w:rsidRPr="006C46AB">
        <w:rPr>
          <w:rFonts w:asciiTheme="majorHAnsi" w:hAnsiTheme="majorHAnsi"/>
          <w:sz w:val="20"/>
          <w:szCs w:val="20"/>
        </w:rPr>
        <w:t xml:space="preserve">23 </w:t>
      </w:r>
      <w:proofErr w:type="spellStart"/>
      <w:r w:rsidRPr="006C46AB">
        <w:rPr>
          <w:rFonts w:asciiTheme="majorHAnsi" w:hAnsiTheme="majorHAnsi"/>
          <w:sz w:val="20"/>
          <w:szCs w:val="20"/>
        </w:rPr>
        <w:t>Marchiando</w:t>
      </w:r>
      <w:proofErr w:type="spellEnd"/>
      <w:r w:rsidRPr="006C46AB">
        <w:rPr>
          <w:rFonts w:asciiTheme="majorHAnsi" w:hAnsiTheme="majorHAnsi"/>
          <w:sz w:val="20"/>
          <w:szCs w:val="20"/>
        </w:rPr>
        <w:t xml:space="preserve"> AM, </w:t>
      </w:r>
      <w:proofErr w:type="spellStart"/>
      <w:r w:rsidRPr="006C46AB">
        <w:rPr>
          <w:rFonts w:asciiTheme="majorHAnsi" w:hAnsiTheme="majorHAnsi"/>
          <w:sz w:val="20"/>
          <w:szCs w:val="20"/>
        </w:rPr>
        <w:t>Shen</w:t>
      </w:r>
      <w:proofErr w:type="spellEnd"/>
      <w:r w:rsidRPr="006C46AB">
        <w:rPr>
          <w:rFonts w:asciiTheme="majorHAnsi" w:hAnsiTheme="majorHAnsi"/>
          <w:sz w:val="20"/>
          <w:szCs w:val="20"/>
        </w:rPr>
        <w:t xml:space="preserve"> L, Graham WV, et al. Caveolin-1–dependent </w:t>
      </w:r>
      <w:proofErr w:type="spellStart"/>
      <w:r w:rsidRPr="006C46AB">
        <w:rPr>
          <w:rFonts w:asciiTheme="majorHAnsi" w:hAnsiTheme="majorHAnsi"/>
          <w:sz w:val="20"/>
          <w:szCs w:val="20"/>
        </w:rPr>
        <w:t>occludin</w:t>
      </w:r>
      <w:proofErr w:type="spellEnd"/>
      <w:r w:rsidRPr="006C46AB">
        <w:rPr>
          <w:rFonts w:asciiTheme="majorHAnsi" w:hAnsiTheme="majorHAnsi"/>
          <w:sz w:val="20"/>
          <w:szCs w:val="20"/>
        </w:rPr>
        <w:t xml:space="preserve"> endocytosis is</w:t>
      </w:r>
      <w:r w:rsidR="008D4427" w:rsidRPr="006C46AB">
        <w:rPr>
          <w:rFonts w:asciiTheme="majorHAnsi" w:hAnsiTheme="majorHAnsi"/>
          <w:sz w:val="20"/>
          <w:szCs w:val="20"/>
        </w:rPr>
        <w:t xml:space="preserve"> </w:t>
      </w:r>
      <w:r w:rsidRPr="006C46AB">
        <w:rPr>
          <w:rFonts w:asciiTheme="majorHAnsi" w:hAnsiTheme="majorHAnsi"/>
          <w:sz w:val="20"/>
          <w:szCs w:val="20"/>
        </w:rPr>
        <w:t>required for TNF-induced tight junction regulation</w:t>
      </w:r>
      <w:r w:rsidR="008D4427" w:rsidRPr="006C46AB">
        <w:rPr>
          <w:rFonts w:asciiTheme="majorHAnsi" w:hAnsiTheme="majorHAnsi"/>
          <w:sz w:val="20"/>
          <w:szCs w:val="20"/>
        </w:rPr>
        <w:t xml:space="preserve"> </w:t>
      </w:r>
      <w:r w:rsidRPr="006C46AB">
        <w:rPr>
          <w:rFonts w:asciiTheme="majorHAnsi" w:hAnsiTheme="majorHAnsi"/>
          <w:sz w:val="20"/>
          <w:szCs w:val="20"/>
        </w:rPr>
        <w:t>in vivo</w:t>
      </w:r>
      <w:r w:rsidR="008D4427" w:rsidRPr="006C46AB">
        <w:rPr>
          <w:rFonts w:asciiTheme="majorHAnsi" w:hAnsiTheme="majorHAnsi"/>
          <w:sz w:val="20"/>
          <w:szCs w:val="20"/>
        </w:rPr>
        <w:t xml:space="preserve">. J Cell </w:t>
      </w:r>
      <w:proofErr w:type="spellStart"/>
      <w:r w:rsidR="008D4427" w:rsidRPr="006C46AB">
        <w:rPr>
          <w:rFonts w:asciiTheme="majorHAnsi" w:hAnsiTheme="majorHAnsi"/>
          <w:sz w:val="20"/>
          <w:szCs w:val="20"/>
        </w:rPr>
        <w:t>Biol</w:t>
      </w:r>
      <w:proofErr w:type="spellEnd"/>
      <w:r w:rsidR="008D4427" w:rsidRPr="006C46AB">
        <w:rPr>
          <w:rFonts w:asciiTheme="majorHAnsi" w:hAnsiTheme="majorHAnsi"/>
          <w:sz w:val="20"/>
          <w:szCs w:val="20"/>
        </w:rPr>
        <w:t xml:space="preserve"> 2010; 189: 111-126.</w:t>
      </w:r>
    </w:p>
    <w:p w14:paraId="06A90E64" w14:textId="77777777" w:rsidR="00837215" w:rsidRPr="006C46AB" w:rsidRDefault="00837215" w:rsidP="0025423E">
      <w:pPr>
        <w:widowControl w:val="0"/>
        <w:spacing w:line="360" w:lineRule="auto"/>
        <w:rPr>
          <w:rFonts w:asciiTheme="majorHAnsi" w:hAnsiTheme="majorHAnsi"/>
          <w:sz w:val="20"/>
          <w:szCs w:val="20"/>
        </w:rPr>
      </w:pPr>
    </w:p>
    <w:p w14:paraId="51789F07" w14:textId="3A5381C5" w:rsidR="000D2096" w:rsidRPr="006C46AB" w:rsidRDefault="004D72B5" w:rsidP="000D2096">
      <w:pPr>
        <w:widowControl w:val="0"/>
        <w:spacing w:line="360" w:lineRule="auto"/>
        <w:rPr>
          <w:rFonts w:asciiTheme="majorHAnsi" w:hAnsiTheme="majorHAnsi" w:cs="Arial"/>
          <w:sz w:val="20"/>
        </w:rPr>
      </w:pPr>
      <w:r w:rsidRPr="006C46AB">
        <w:rPr>
          <w:rFonts w:asciiTheme="majorHAnsi" w:hAnsiTheme="majorHAnsi" w:cs="Arial"/>
          <w:sz w:val="20"/>
        </w:rPr>
        <w:t>24</w:t>
      </w:r>
      <w:r w:rsidR="000D2096" w:rsidRPr="006C46AB">
        <w:rPr>
          <w:rFonts w:asciiTheme="majorHAnsi" w:hAnsiTheme="majorHAnsi" w:cs="Arial"/>
          <w:sz w:val="20"/>
        </w:rPr>
        <w:t xml:space="preserve"> </w:t>
      </w:r>
      <w:proofErr w:type="spellStart"/>
      <w:r w:rsidR="000D2096" w:rsidRPr="006C46AB">
        <w:rPr>
          <w:rFonts w:asciiTheme="majorHAnsi" w:hAnsiTheme="majorHAnsi" w:cs="Arial"/>
          <w:sz w:val="20"/>
        </w:rPr>
        <w:t>Kiesslich</w:t>
      </w:r>
      <w:proofErr w:type="spellEnd"/>
      <w:r w:rsidR="000D2096" w:rsidRPr="006C46AB">
        <w:rPr>
          <w:rFonts w:asciiTheme="majorHAnsi" w:hAnsiTheme="majorHAnsi" w:cs="Arial"/>
          <w:sz w:val="20"/>
        </w:rPr>
        <w:t xml:space="preserve"> R, Goetz M, Angus EM, </w:t>
      </w:r>
      <w:r w:rsidR="00A0494D" w:rsidRPr="006C46AB">
        <w:rPr>
          <w:rFonts w:asciiTheme="majorHAnsi" w:hAnsiTheme="majorHAnsi" w:cs="Arial"/>
          <w:sz w:val="20"/>
        </w:rPr>
        <w:t>et al</w:t>
      </w:r>
      <w:r w:rsidR="000D2096" w:rsidRPr="006C46AB">
        <w:rPr>
          <w:rFonts w:asciiTheme="majorHAnsi" w:hAnsiTheme="majorHAnsi" w:cs="Arial"/>
          <w:sz w:val="20"/>
        </w:rPr>
        <w:t>. Identification of epithelial gaps in human small and large intestine by confocal endomicroscopy. Gastroenterology 2007;133:1769-78.</w:t>
      </w:r>
    </w:p>
    <w:p w14:paraId="1B79B6F2" w14:textId="77777777" w:rsidR="000D2096" w:rsidRPr="006C46AB" w:rsidRDefault="000D2096" w:rsidP="000D2096">
      <w:pPr>
        <w:widowControl w:val="0"/>
        <w:spacing w:line="360" w:lineRule="auto"/>
        <w:rPr>
          <w:rFonts w:asciiTheme="majorHAnsi" w:hAnsiTheme="majorHAnsi" w:cs="Times New Roman"/>
          <w:sz w:val="20"/>
          <w:szCs w:val="16"/>
          <w:lang w:val="en-US"/>
        </w:rPr>
      </w:pPr>
    </w:p>
    <w:p w14:paraId="3EC64B92" w14:textId="793C96F6" w:rsidR="000D2096" w:rsidRPr="006C46AB" w:rsidRDefault="004D72B5" w:rsidP="000D2096">
      <w:pPr>
        <w:widowControl w:val="0"/>
        <w:spacing w:line="360" w:lineRule="auto"/>
        <w:rPr>
          <w:rFonts w:asciiTheme="majorHAnsi" w:hAnsiTheme="majorHAnsi" w:cs="Times New Roman"/>
          <w:sz w:val="20"/>
          <w:szCs w:val="16"/>
          <w:lang w:val="en-US"/>
        </w:rPr>
      </w:pPr>
      <w:r w:rsidRPr="006C46AB">
        <w:rPr>
          <w:rFonts w:asciiTheme="majorHAnsi" w:hAnsiTheme="majorHAnsi" w:cs="Times New Roman"/>
          <w:sz w:val="20"/>
          <w:szCs w:val="16"/>
          <w:lang w:val="en-US"/>
        </w:rPr>
        <w:t>25</w:t>
      </w:r>
      <w:r w:rsidR="000D2096" w:rsidRPr="006C46AB">
        <w:rPr>
          <w:rFonts w:asciiTheme="majorHAnsi" w:hAnsiTheme="majorHAnsi" w:cs="Times New Roman"/>
          <w:sz w:val="20"/>
          <w:szCs w:val="16"/>
          <w:lang w:val="en-US"/>
        </w:rPr>
        <w:t xml:space="preserve"> </w:t>
      </w:r>
      <w:proofErr w:type="spellStart"/>
      <w:r w:rsidR="000D2096" w:rsidRPr="006C46AB">
        <w:rPr>
          <w:rFonts w:asciiTheme="majorHAnsi" w:hAnsiTheme="majorHAnsi" w:cs="Times New Roman"/>
          <w:sz w:val="20"/>
          <w:szCs w:val="16"/>
          <w:lang w:val="en-US"/>
        </w:rPr>
        <w:t>Kiesslich</w:t>
      </w:r>
      <w:proofErr w:type="spellEnd"/>
      <w:r w:rsidR="000D2096" w:rsidRPr="006C46AB">
        <w:rPr>
          <w:rFonts w:asciiTheme="majorHAnsi" w:hAnsiTheme="majorHAnsi" w:cs="Times New Roman"/>
          <w:sz w:val="20"/>
          <w:szCs w:val="16"/>
          <w:lang w:val="en-US"/>
        </w:rPr>
        <w:t xml:space="preserve"> R, Duckworth CA, </w:t>
      </w:r>
      <w:proofErr w:type="spellStart"/>
      <w:r w:rsidR="000D2096" w:rsidRPr="006C46AB">
        <w:rPr>
          <w:rFonts w:asciiTheme="majorHAnsi" w:hAnsiTheme="majorHAnsi" w:cs="Times New Roman"/>
          <w:sz w:val="20"/>
          <w:szCs w:val="16"/>
          <w:lang w:val="en-US"/>
        </w:rPr>
        <w:t>Moussata</w:t>
      </w:r>
      <w:proofErr w:type="spellEnd"/>
      <w:r w:rsidR="000D2096" w:rsidRPr="006C46AB">
        <w:rPr>
          <w:rFonts w:asciiTheme="majorHAnsi" w:hAnsiTheme="majorHAnsi" w:cs="Times New Roman"/>
          <w:sz w:val="20"/>
          <w:szCs w:val="16"/>
          <w:lang w:val="en-US"/>
        </w:rPr>
        <w:t xml:space="preserve"> D, </w:t>
      </w:r>
      <w:r w:rsidR="00A0494D" w:rsidRPr="006C46AB">
        <w:rPr>
          <w:rFonts w:asciiTheme="majorHAnsi" w:hAnsiTheme="majorHAnsi" w:cs="Times New Roman"/>
          <w:sz w:val="20"/>
          <w:szCs w:val="16"/>
          <w:lang w:val="en-US"/>
        </w:rPr>
        <w:t>et al</w:t>
      </w:r>
      <w:r w:rsidR="000D2096" w:rsidRPr="006C46AB">
        <w:rPr>
          <w:rFonts w:asciiTheme="majorHAnsi" w:hAnsiTheme="majorHAnsi" w:cs="Times New Roman"/>
          <w:sz w:val="20"/>
          <w:szCs w:val="16"/>
          <w:lang w:val="en-US"/>
        </w:rPr>
        <w:t xml:space="preserve">. Local barrier dysfunction identified by confocal laser endomicroscopy predicts relapse in inflammatory bowel disease. Gut 2012; 61: 1146-1153. </w:t>
      </w:r>
    </w:p>
    <w:p w14:paraId="584DEABE" w14:textId="77777777" w:rsidR="000D2096" w:rsidRPr="006C46AB" w:rsidRDefault="000D2096" w:rsidP="00AD17C0">
      <w:pPr>
        <w:widowControl w:val="0"/>
        <w:spacing w:line="360" w:lineRule="auto"/>
        <w:rPr>
          <w:rFonts w:asciiTheme="majorHAnsi" w:hAnsiTheme="majorHAnsi" w:cs="Times New Roman"/>
          <w:sz w:val="20"/>
          <w:szCs w:val="20"/>
          <w:lang w:val="en-US"/>
        </w:rPr>
      </w:pPr>
    </w:p>
    <w:p w14:paraId="540296A9" w14:textId="3ACA790B" w:rsidR="004D72B5" w:rsidRPr="006C46AB" w:rsidRDefault="004D72B5" w:rsidP="00AD17C0">
      <w:pPr>
        <w:widowControl w:val="0"/>
        <w:tabs>
          <w:tab w:val="left" w:pos="-720"/>
        </w:tabs>
        <w:suppressAutoHyphens/>
        <w:spacing w:line="360" w:lineRule="auto"/>
        <w:jc w:val="both"/>
        <w:rPr>
          <w:rFonts w:asciiTheme="majorHAnsi" w:hAnsiTheme="majorHAnsi"/>
          <w:bCs/>
          <w:sz w:val="20"/>
          <w:szCs w:val="20"/>
        </w:rPr>
      </w:pPr>
      <w:r w:rsidRPr="006C46AB">
        <w:rPr>
          <w:rFonts w:asciiTheme="majorHAnsi" w:hAnsiTheme="majorHAnsi" w:cs="Times New Roman"/>
          <w:sz w:val="20"/>
          <w:szCs w:val="20"/>
          <w:lang w:val="en-US"/>
        </w:rPr>
        <w:t xml:space="preserve">26 </w:t>
      </w:r>
      <w:r w:rsidR="00AD17C0" w:rsidRPr="006C46AB">
        <w:rPr>
          <w:rFonts w:asciiTheme="majorHAnsi" w:hAnsiTheme="majorHAnsi"/>
          <w:sz w:val="20"/>
          <w:szCs w:val="20"/>
        </w:rPr>
        <w:t xml:space="preserve">Kelly P, </w:t>
      </w:r>
      <w:proofErr w:type="spellStart"/>
      <w:r w:rsidR="00AD17C0" w:rsidRPr="006C46AB">
        <w:rPr>
          <w:rFonts w:asciiTheme="majorHAnsi" w:hAnsiTheme="majorHAnsi"/>
          <w:sz w:val="20"/>
          <w:szCs w:val="20"/>
        </w:rPr>
        <w:t>Shawa</w:t>
      </w:r>
      <w:proofErr w:type="spellEnd"/>
      <w:r w:rsidR="00AD17C0" w:rsidRPr="006C46AB">
        <w:rPr>
          <w:rFonts w:asciiTheme="majorHAnsi" w:hAnsiTheme="majorHAnsi"/>
          <w:sz w:val="20"/>
          <w:szCs w:val="20"/>
        </w:rPr>
        <w:t xml:space="preserve"> T, </w:t>
      </w:r>
      <w:proofErr w:type="spellStart"/>
      <w:r w:rsidR="00AD17C0" w:rsidRPr="006C46AB">
        <w:rPr>
          <w:rFonts w:asciiTheme="majorHAnsi" w:hAnsiTheme="majorHAnsi"/>
          <w:sz w:val="20"/>
          <w:szCs w:val="20"/>
        </w:rPr>
        <w:t>Mwanamakondo</w:t>
      </w:r>
      <w:proofErr w:type="spellEnd"/>
      <w:r w:rsidR="00AD17C0" w:rsidRPr="006C46AB">
        <w:rPr>
          <w:rFonts w:asciiTheme="majorHAnsi" w:hAnsiTheme="majorHAnsi"/>
          <w:sz w:val="20"/>
          <w:szCs w:val="20"/>
        </w:rPr>
        <w:t xml:space="preserve"> S, </w:t>
      </w:r>
      <w:r w:rsidR="00A0494D" w:rsidRPr="006C46AB">
        <w:rPr>
          <w:rFonts w:asciiTheme="majorHAnsi" w:hAnsiTheme="majorHAnsi"/>
          <w:sz w:val="20"/>
          <w:szCs w:val="20"/>
        </w:rPr>
        <w:t>et al</w:t>
      </w:r>
      <w:r w:rsidR="00AD17C0" w:rsidRPr="006C46AB">
        <w:rPr>
          <w:rFonts w:asciiTheme="majorHAnsi" w:hAnsiTheme="majorHAnsi"/>
          <w:sz w:val="20"/>
          <w:szCs w:val="20"/>
        </w:rPr>
        <w:t>. Gastric and intestinal barrier impairment in tropical enteropathy and HIV: limited impact of micronutrient supplementation during a randomised controlled trial.</w:t>
      </w:r>
      <w:r w:rsidR="00AD17C0" w:rsidRPr="006C46AB">
        <w:rPr>
          <w:rFonts w:asciiTheme="majorHAnsi" w:hAnsiTheme="majorHAnsi"/>
          <w:bCs/>
          <w:sz w:val="20"/>
          <w:szCs w:val="20"/>
        </w:rPr>
        <w:t xml:space="preserve"> BMC Gastroenterology 2010; 10: 72.</w:t>
      </w:r>
    </w:p>
    <w:p w14:paraId="025AC71C" w14:textId="77777777" w:rsidR="004D72B5" w:rsidRPr="006C46AB" w:rsidRDefault="004D72B5" w:rsidP="00AD17C0">
      <w:pPr>
        <w:widowControl w:val="0"/>
        <w:spacing w:line="360" w:lineRule="auto"/>
        <w:rPr>
          <w:rFonts w:asciiTheme="majorHAnsi" w:hAnsiTheme="majorHAnsi" w:cs="Times New Roman"/>
          <w:sz w:val="20"/>
          <w:szCs w:val="20"/>
          <w:lang w:val="en-US"/>
        </w:rPr>
      </w:pPr>
    </w:p>
    <w:p w14:paraId="2453175C" w14:textId="3AAC260D" w:rsidR="00032126" w:rsidRPr="006C46AB" w:rsidRDefault="00BB1914" w:rsidP="00251E14">
      <w:pPr>
        <w:widowControl w:val="0"/>
        <w:spacing w:line="360" w:lineRule="auto"/>
        <w:rPr>
          <w:rFonts w:asciiTheme="majorHAnsi" w:hAnsiTheme="majorHAnsi"/>
          <w:sz w:val="20"/>
          <w:szCs w:val="20"/>
        </w:rPr>
      </w:pPr>
      <w:r w:rsidRPr="006C46AB">
        <w:rPr>
          <w:rFonts w:asciiTheme="majorHAnsi" w:hAnsiTheme="majorHAnsi"/>
          <w:sz w:val="20"/>
          <w:szCs w:val="20"/>
        </w:rPr>
        <w:t xml:space="preserve">27 Zulu J, </w:t>
      </w:r>
      <w:proofErr w:type="spellStart"/>
      <w:r w:rsidRPr="006C46AB">
        <w:rPr>
          <w:rFonts w:asciiTheme="majorHAnsi" w:hAnsiTheme="majorHAnsi"/>
          <w:sz w:val="20"/>
          <w:szCs w:val="20"/>
        </w:rPr>
        <w:t>Mwansa-Lisulo</w:t>
      </w:r>
      <w:proofErr w:type="spellEnd"/>
      <w:r w:rsidRPr="006C46AB">
        <w:rPr>
          <w:rFonts w:asciiTheme="majorHAnsi" w:hAnsiTheme="majorHAnsi"/>
          <w:sz w:val="20"/>
          <w:szCs w:val="20"/>
        </w:rPr>
        <w:t xml:space="preserve"> M, Besa E, </w:t>
      </w:r>
      <w:r w:rsidR="00A0494D" w:rsidRPr="006C46AB">
        <w:rPr>
          <w:rFonts w:asciiTheme="majorHAnsi" w:hAnsiTheme="majorHAnsi"/>
          <w:sz w:val="20"/>
          <w:szCs w:val="20"/>
        </w:rPr>
        <w:t>et al</w:t>
      </w:r>
      <w:r w:rsidRPr="006C46AB">
        <w:rPr>
          <w:rFonts w:asciiTheme="majorHAnsi" w:hAnsiTheme="majorHAnsi"/>
          <w:sz w:val="20"/>
          <w:szCs w:val="20"/>
        </w:rPr>
        <w:t xml:space="preserve">. </w:t>
      </w:r>
      <w:r w:rsidRPr="006C46AB">
        <w:rPr>
          <w:rFonts w:asciiTheme="majorHAnsi" w:hAnsiTheme="majorHAnsi"/>
          <w:sz w:val="20"/>
          <w:szCs w:val="20"/>
          <w:lang w:val="en-US"/>
        </w:rPr>
        <w:t>Improving validity of informed consent for biomedical research in Zambia using a laboratory exposure intervention. PLOS One 2014; 9: e1</w:t>
      </w:r>
      <w:r w:rsidR="00A0494D" w:rsidRPr="006C46AB">
        <w:rPr>
          <w:rFonts w:asciiTheme="majorHAnsi" w:hAnsiTheme="majorHAnsi"/>
          <w:sz w:val="20"/>
          <w:szCs w:val="20"/>
          <w:lang w:val="en-US"/>
        </w:rPr>
        <w:t>08305.</w:t>
      </w:r>
    </w:p>
    <w:p w14:paraId="0CD84DA0" w14:textId="77777777" w:rsidR="000D2096" w:rsidRPr="006C46AB" w:rsidRDefault="000D2096" w:rsidP="00BB1914">
      <w:pPr>
        <w:widowControl w:val="0"/>
        <w:spacing w:line="360" w:lineRule="auto"/>
        <w:rPr>
          <w:rFonts w:asciiTheme="majorHAnsi" w:hAnsiTheme="majorHAnsi"/>
          <w:sz w:val="20"/>
          <w:szCs w:val="20"/>
        </w:rPr>
      </w:pPr>
    </w:p>
    <w:p w14:paraId="213CE5DB" w14:textId="280326F7" w:rsidR="000D2096" w:rsidRPr="006C46AB" w:rsidRDefault="00251E14" w:rsidP="00BB1914">
      <w:pPr>
        <w:widowControl w:val="0"/>
        <w:spacing w:line="360" w:lineRule="auto"/>
        <w:rPr>
          <w:rFonts w:asciiTheme="majorHAnsi" w:hAnsiTheme="majorHAnsi"/>
          <w:sz w:val="28"/>
          <w:szCs w:val="20"/>
        </w:rPr>
      </w:pPr>
      <w:r w:rsidRPr="006C46AB">
        <w:rPr>
          <w:rFonts w:asciiTheme="majorHAnsi" w:hAnsiTheme="majorHAnsi"/>
          <w:sz w:val="20"/>
          <w:szCs w:val="20"/>
        </w:rPr>
        <w:t>28</w:t>
      </w:r>
      <w:r w:rsidR="00382F97" w:rsidRPr="006C46AB">
        <w:rPr>
          <w:rFonts w:asciiTheme="majorHAnsi" w:hAnsiTheme="majorHAnsi"/>
          <w:sz w:val="20"/>
          <w:szCs w:val="20"/>
        </w:rPr>
        <w:t xml:space="preserve"> </w:t>
      </w:r>
      <w:proofErr w:type="spellStart"/>
      <w:r w:rsidR="00382F97" w:rsidRPr="006C46AB">
        <w:rPr>
          <w:rFonts w:asciiTheme="majorHAnsi" w:hAnsiTheme="majorHAnsi"/>
          <w:sz w:val="20"/>
          <w:szCs w:val="20"/>
        </w:rPr>
        <w:t>Valberg</w:t>
      </w:r>
      <w:proofErr w:type="spellEnd"/>
      <w:r w:rsidR="00DA570D" w:rsidRPr="006C46AB">
        <w:rPr>
          <w:rFonts w:asciiTheme="majorHAnsi" w:hAnsiTheme="majorHAnsi"/>
          <w:sz w:val="20"/>
          <w:szCs w:val="20"/>
        </w:rPr>
        <w:t xml:space="preserve"> LS, Flanagan PR, Brennan J, </w:t>
      </w:r>
      <w:r w:rsidR="00283F54" w:rsidRPr="006C46AB">
        <w:rPr>
          <w:rFonts w:asciiTheme="majorHAnsi" w:hAnsiTheme="majorHAnsi"/>
          <w:sz w:val="20"/>
          <w:szCs w:val="20"/>
        </w:rPr>
        <w:t>et al</w:t>
      </w:r>
      <w:r w:rsidR="00DA570D" w:rsidRPr="006C46AB">
        <w:rPr>
          <w:rFonts w:asciiTheme="majorHAnsi" w:hAnsiTheme="majorHAnsi"/>
          <w:sz w:val="20"/>
          <w:szCs w:val="20"/>
        </w:rPr>
        <w:t xml:space="preserve">. Does the oral zinc tolerance test measure zinc absorption? </w:t>
      </w:r>
      <w:r w:rsidR="00DA570D" w:rsidRPr="006C46AB">
        <w:rPr>
          <w:rFonts w:asciiTheme="majorHAnsi" w:hAnsiTheme="majorHAnsi" w:cs="Times New Roman"/>
          <w:sz w:val="20"/>
          <w:szCs w:val="14"/>
          <w:lang w:val="en-US"/>
        </w:rPr>
        <w:t xml:space="preserve">Am J </w:t>
      </w:r>
      <w:proofErr w:type="spellStart"/>
      <w:r w:rsidR="00DA570D" w:rsidRPr="006C46AB">
        <w:rPr>
          <w:rFonts w:asciiTheme="majorHAnsi" w:hAnsiTheme="majorHAnsi" w:cs="Times New Roman"/>
          <w:sz w:val="20"/>
          <w:szCs w:val="14"/>
          <w:lang w:val="en-US"/>
        </w:rPr>
        <w:t>Clin</w:t>
      </w:r>
      <w:proofErr w:type="spellEnd"/>
      <w:r w:rsidR="00DA570D" w:rsidRPr="006C46AB">
        <w:rPr>
          <w:rFonts w:asciiTheme="majorHAnsi" w:hAnsiTheme="majorHAnsi" w:cs="Times New Roman"/>
          <w:sz w:val="20"/>
          <w:szCs w:val="14"/>
          <w:lang w:val="en-US"/>
        </w:rPr>
        <w:t xml:space="preserve"> </w:t>
      </w:r>
      <w:proofErr w:type="spellStart"/>
      <w:r w:rsidR="00DA570D" w:rsidRPr="006C46AB">
        <w:rPr>
          <w:rFonts w:asciiTheme="majorHAnsi" w:hAnsiTheme="majorHAnsi" w:cs="Times New Roman"/>
          <w:sz w:val="20"/>
          <w:szCs w:val="14"/>
          <w:lang w:val="en-US"/>
        </w:rPr>
        <w:t>Nutr</w:t>
      </w:r>
      <w:proofErr w:type="spellEnd"/>
      <w:r w:rsidR="00DA570D" w:rsidRPr="006C46AB">
        <w:rPr>
          <w:rFonts w:asciiTheme="majorHAnsi" w:hAnsiTheme="majorHAnsi" w:cs="Times New Roman"/>
          <w:sz w:val="20"/>
          <w:szCs w:val="14"/>
          <w:lang w:val="en-US"/>
        </w:rPr>
        <w:t xml:space="preserve"> 1985; 41: 37-42.</w:t>
      </w:r>
    </w:p>
    <w:p w14:paraId="26D66FC5" w14:textId="77777777" w:rsidR="000D2096" w:rsidRPr="006C46AB" w:rsidRDefault="000D2096" w:rsidP="0025423E">
      <w:pPr>
        <w:widowControl w:val="0"/>
        <w:spacing w:line="360" w:lineRule="auto"/>
        <w:rPr>
          <w:rFonts w:asciiTheme="majorHAnsi" w:hAnsiTheme="majorHAnsi"/>
          <w:sz w:val="20"/>
          <w:szCs w:val="20"/>
        </w:rPr>
      </w:pPr>
    </w:p>
    <w:p w14:paraId="36F77ED7" w14:textId="01B2D2EC" w:rsidR="000D2096" w:rsidRPr="006C46AB" w:rsidRDefault="00251E14" w:rsidP="0025423E">
      <w:pPr>
        <w:widowControl w:val="0"/>
        <w:spacing w:line="360" w:lineRule="auto"/>
        <w:rPr>
          <w:rFonts w:asciiTheme="majorHAnsi" w:hAnsiTheme="majorHAnsi"/>
          <w:sz w:val="20"/>
          <w:szCs w:val="20"/>
        </w:rPr>
      </w:pPr>
      <w:r w:rsidRPr="006C46AB">
        <w:rPr>
          <w:rFonts w:asciiTheme="majorHAnsi" w:hAnsiTheme="majorHAnsi"/>
          <w:sz w:val="20"/>
          <w:szCs w:val="20"/>
        </w:rPr>
        <w:t>29</w:t>
      </w:r>
      <w:r w:rsidR="00382F97" w:rsidRPr="006C46AB">
        <w:rPr>
          <w:rFonts w:asciiTheme="majorHAnsi" w:hAnsiTheme="majorHAnsi"/>
          <w:sz w:val="20"/>
          <w:szCs w:val="20"/>
        </w:rPr>
        <w:t xml:space="preserve"> </w:t>
      </w:r>
      <w:proofErr w:type="spellStart"/>
      <w:r w:rsidR="000D2096" w:rsidRPr="006C46AB">
        <w:rPr>
          <w:rFonts w:asciiTheme="majorHAnsi" w:hAnsiTheme="majorHAnsi"/>
          <w:sz w:val="20"/>
          <w:szCs w:val="20"/>
        </w:rPr>
        <w:t>Tarazona</w:t>
      </w:r>
      <w:proofErr w:type="spellEnd"/>
      <w:r w:rsidR="000D2096" w:rsidRPr="006C46AB">
        <w:rPr>
          <w:rFonts w:asciiTheme="majorHAnsi" w:hAnsiTheme="majorHAnsi"/>
          <w:sz w:val="20"/>
          <w:szCs w:val="20"/>
        </w:rPr>
        <w:t xml:space="preserve"> S, </w:t>
      </w:r>
      <w:proofErr w:type="spellStart"/>
      <w:r w:rsidR="000D2096" w:rsidRPr="006C46AB">
        <w:rPr>
          <w:rFonts w:asciiTheme="majorHAnsi" w:hAnsiTheme="majorHAnsi"/>
          <w:sz w:val="20"/>
          <w:szCs w:val="20"/>
        </w:rPr>
        <w:t>García-Alcalde</w:t>
      </w:r>
      <w:proofErr w:type="spellEnd"/>
      <w:r w:rsidR="000D2096" w:rsidRPr="006C46AB">
        <w:rPr>
          <w:rFonts w:asciiTheme="majorHAnsi" w:hAnsiTheme="majorHAnsi"/>
          <w:sz w:val="20"/>
          <w:szCs w:val="20"/>
        </w:rPr>
        <w:t xml:space="preserve"> F, </w:t>
      </w:r>
      <w:proofErr w:type="spellStart"/>
      <w:r w:rsidR="000D2096" w:rsidRPr="006C46AB">
        <w:rPr>
          <w:rFonts w:asciiTheme="majorHAnsi" w:hAnsiTheme="majorHAnsi"/>
          <w:sz w:val="20"/>
          <w:szCs w:val="20"/>
        </w:rPr>
        <w:t>Dopazo</w:t>
      </w:r>
      <w:proofErr w:type="spellEnd"/>
      <w:r w:rsidR="000D2096" w:rsidRPr="006C46AB">
        <w:rPr>
          <w:rFonts w:asciiTheme="majorHAnsi" w:hAnsiTheme="majorHAnsi"/>
          <w:sz w:val="20"/>
          <w:szCs w:val="20"/>
        </w:rPr>
        <w:t xml:space="preserve"> J, </w:t>
      </w:r>
      <w:r w:rsidR="00283F54" w:rsidRPr="006C46AB">
        <w:rPr>
          <w:rFonts w:asciiTheme="majorHAnsi" w:hAnsiTheme="majorHAnsi"/>
          <w:sz w:val="20"/>
          <w:szCs w:val="20"/>
        </w:rPr>
        <w:t>et al</w:t>
      </w:r>
      <w:r w:rsidR="000D2096" w:rsidRPr="006C46AB">
        <w:rPr>
          <w:rFonts w:asciiTheme="majorHAnsi" w:hAnsiTheme="majorHAnsi"/>
          <w:sz w:val="20"/>
          <w:szCs w:val="20"/>
        </w:rPr>
        <w:t>. Differential expression in RNA-</w:t>
      </w:r>
      <w:proofErr w:type="spellStart"/>
      <w:r w:rsidR="000D2096" w:rsidRPr="006C46AB">
        <w:rPr>
          <w:rFonts w:asciiTheme="majorHAnsi" w:hAnsiTheme="majorHAnsi"/>
          <w:sz w:val="20"/>
          <w:szCs w:val="20"/>
        </w:rPr>
        <w:t>seq</w:t>
      </w:r>
      <w:proofErr w:type="spellEnd"/>
      <w:r w:rsidR="000D2096" w:rsidRPr="006C46AB">
        <w:rPr>
          <w:rFonts w:asciiTheme="majorHAnsi" w:hAnsiTheme="majorHAnsi"/>
          <w:sz w:val="20"/>
          <w:szCs w:val="20"/>
        </w:rPr>
        <w:t xml:space="preserve">: a matter of depth. Genome Res. 2011; 21: 2213-23. </w:t>
      </w:r>
      <w:proofErr w:type="spellStart"/>
      <w:r w:rsidR="000D2096" w:rsidRPr="006C46AB">
        <w:rPr>
          <w:rFonts w:asciiTheme="majorHAnsi" w:hAnsiTheme="majorHAnsi"/>
          <w:sz w:val="20"/>
          <w:szCs w:val="20"/>
        </w:rPr>
        <w:t>doi</w:t>
      </w:r>
      <w:proofErr w:type="spellEnd"/>
      <w:r w:rsidR="000D2096" w:rsidRPr="006C46AB">
        <w:rPr>
          <w:rFonts w:asciiTheme="majorHAnsi" w:hAnsiTheme="majorHAnsi"/>
          <w:sz w:val="20"/>
          <w:szCs w:val="20"/>
        </w:rPr>
        <w:t>: 10.1101/gr.124321.111.</w:t>
      </w:r>
    </w:p>
    <w:p w14:paraId="384ABB35" w14:textId="77777777" w:rsidR="000D2096" w:rsidRPr="006C46AB" w:rsidRDefault="000D2096" w:rsidP="0025423E">
      <w:pPr>
        <w:widowControl w:val="0"/>
        <w:spacing w:line="360" w:lineRule="auto"/>
        <w:rPr>
          <w:rFonts w:asciiTheme="majorHAnsi" w:hAnsiTheme="majorHAnsi"/>
          <w:sz w:val="20"/>
          <w:szCs w:val="20"/>
        </w:rPr>
      </w:pPr>
    </w:p>
    <w:p w14:paraId="01C85310" w14:textId="2B7243F7" w:rsidR="0060587B" w:rsidRPr="006C46AB" w:rsidRDefault="00251E14" w:rsidP="00031246">
      <w:pPr>
        <w:widowControl w:val="0"/>
        <w:spacing w:line="360" w:lineRule="auto"/>
        <w:rPr>
          <w:rFonts w:asciiTheme="majorHAnsi" w:hAnsiTheme="majorHAnsi"/>
          <w:sz w:val="20"/>
          <w:szCs w:val="20"/>
        </w:rPr>
      </w:pPr>
      <w:r w:rsidRPr="006C46AB">
        <w:rPr>
          <w:rFonts w:asciiTheme="majorHAnsi" w:hAnsiTheme="majorHAnsi"/>
          <w:sz w:val="20"/>
          <w:szCs w:val="20"/>
        </w:rPr>
        <w:t>30</w:t>
      </w:r>
      <w:r w:rsidR="00760D85" w:rsidRPr="006C46AB">
        <w:rPr>
          <w:rFonts w:asciiTheme="majorHAnsi" w:hAnsiTheme="majorHAnsi"/>
          <w:sz w:val="20"/>
          <w:szCs w:val="20"/>
        </w:rPr>
        <w:t xml:space="preserve"> Lim</w:t>
      </w:r>
      <w:r w:rsidR="00031246" w:rsidRPr="006C46AB">
        <w:rPr>
          <w:rFonts w:asciiTheme="majorHAnsi" w:hAnsiTheme="majorHAnsi"/>
          <w:sz w:val="20"/>
          <w:szCs w:val="20"/>
        </w:rPr>
        <w:t xml:space="preserve"> LG, Neumann J, Hansen T, </w:t>
      </w:r>
      <w:r w:rsidR="00A0494D" w:rsidRPr="006C46AB">
        <w:rPr>
          <w:rFonts w:asciiTheme="majorHAnsi" w:hAnsiTheme="majorHAnsi"/>
          <w:sz w:val="20"/>
          <w:szCs w:val="20"/>
        </w:rPr>
        <w:t>et al</w:t>
      </w:r>
      <w:r w:rsidR="00031246" w:rsidRPr="006C46AB">
        <w:rPr>
          <w:rFonts w:asciiTheme="majorHAnsi" w:hAnsiTheme="majorHAnsi"/>
          <w:sz w:val="20"/>
          <w:szCs w:val="20"/>
        </w:rPr>
        <w:t xml:space="preserve">. Confocal endomicroscopy identifies loss of local barrier function in the duodenum of patients with Crohn’s disease and Ulcerative Colitis. </w:t>
      </w:r>
      <w:proofErr w:type="spellStart"/>
      <w:r w:rsidR="00031246" w:rsidRPr="006C46AB">
        <w:rPr>
          <w:rFonts w:asciiTheme="majorHAnsi" w:hAnsiTheme="majorHAnsi" w:cs="Times New Roman"/>
          <w:color w:val="231F20"/>
          <w:sz w:val="20"/>
          <w:szCs w:val="20"/>
          <w:lang w:val="en-US"/>
        </w:rPr>
        <w:t>Inflamm</w:t>
      </w:r>
      <w:proofErr w:type="spellEnd"/>
      <w:r w:rsidR="00031246" w:rsidRPr="006C46AB">
        <w:rPr>
          <w:rFonts w:asciiTheme="majorHAnsi" w:hAnsiTheme="majorHAnsi" w:cs="Times New Roman"/>
          <w:color w:val="231F20"/>
          <w:sz w:val="20"/>
          <w:szCs w:val="20"/>
          <w:lang w:val="en-US"/>
        </w:rPr>
        <w:t xml:space="preserve"> Bowel Dis 2014;20:892–900.</w:t>
      </w:r>
    </w:p>
    <w:p w14:paraId="6793A965" w14:textId="77777777" w:rsidR="000D2096" w:rsidRPr="006C46AB" w:rsidRDefault="000D2096" w:rsidP="0025423E">
      <w:pPr>
        <w:widowControl w:val="0"/>
        <w:spacing w:line="360" w:lineRule="auto"/>
        <w:rPr>
          <w:rFonts w:asciiTheme="majorHAnsi" w:hAnsiTheme="majorHAnsi"/>
          <w:sz w:val="20"/>
          <w:szCs w:val="20"/>
        </w:rPr>
      </w:pPr>
    </w:p>
    <w:p w14:paraId="5B3C2810" w14:textId="75F1A71F" w:rsidR="00691E64" w:rsidRPr="006C46AB" w:rsidRDefault="00251E14" w:rsidP="0025423E">
      <w:pPr>
        <w:widowControl w:val="0"/>
        <w:spacing w:line="360" w:lineRule="auto"/>
        <w:rPr>
          <w:rFonts w:asciiTheme="majorHAnsi" w:hAnsiTheme="majorHAnsi"/>
          <w:sz w:val="20"/>
          <w:szCs w:val="20"/>
        </w:rPr>
      </w:pPr>
      <w:r w:rsidRPr="006C46AB">
        <w:rPr>
          <w:rFonts w:asciiTheme="majorHAnsi" w:hAnsiTheme="majorHAnsi"/>
          <w:sz w:val="20"/>
          <w:szCs w:val="20"/>
        </w:rPr>
        <w:t>31</w:t>
      </w:r>
      <w:r w:rsidR="00691E64" w:rsidRPr="006C46AB">
        <w:rPr>
          <w:rFonts w:asciiTheme="majorHAnsi" w:hAnsiTheme="majorHAnsi"/>
          <w:sz w:val="20"/>
          <w:szCs w:val="20"/>
        </w:rPr>
        <w:t xml:space="preserve"> </w:t>
      </w:r>
      <w:proofErr w:type="spellStart"/>
      <w:r w:rsidR="00691E64" w:rsidRPr="006C46AB">
        <w:rPr>
          <w:rFonts w:asciiTheme="majorHAnsi" w:hAnsiTheme="majorHAnsi"/>
          <w:sz w:val="20"/>
          <w:szCs w:val="20"/>
        </w:rPr>
        <w:t>Zevallos</w:t>
      </w:r>
      <w:proofErr w:type="spellEnd"/>
      <w:r w:rsidR="00691E64" w:rsidRPr="006C46AB">
        <w:rPr>
          <w:rFonts w:asciiTheme="majorHAnsi" w:hAnsiTheme="majorHAnsi"/>
          <w:sz w:val="20"/>
          <w:szCs w:val="20"/>
        </w:rPr>
        <w:t xml:space="preserve"> VF, </w:t>
      </w:r>
      <w:proofErr w:type="spellStart"/>
      <w:r w:rsidR="00691E64" w:rsidRPr="006C46AB">
        <w:rPr>
          <w:rFonts w:asciiTheme="majorHAnsi" w:hAnsiTheme="majorHAnsi"/>
          <w:sz w:val="20"/>
          <w:szCs w:val="20"/>
        </w:rPr>
        <w:t>Herencia</w:t>
      </w:r>
      <w:proofErr w:type="spellEnd"/>
      <w:r w:rsidR="00691E64" w:rsidRPr="006C46AB">
        <w:rPr>
          <w:rFonts w:asciiTheme="majorHAnsi" w:hAnsiTheme="majorHAnsi"/>
          <w:sz w:val="20"/>
          <w:szCs w:val="20"/>
        </w:rPr>
        <w:t xml:space="preserve"> LI, Chang F, Donnelly S, Ellis HJ, </w:t>
      </w:r>
      <w:proofErr w:type="spellStart"/>
      <w:r w:rsidR="00691E64" w:rsidRPr="006C46AB">
        <w:rPr>
          <w:rFonts w:asciiTheme="majorHAnsi" w:hAnsiTheme="majorHAnsi"/>
          <w:sz w:val="20"/>
          <w:szCs w:val="20"/>
        </w:rPr>
        <w:t>Ciclitira</w:t>
      </w:r>
      <w:proofErr w:type="spellEnd"/>
      <w:r w:rsidR="00691E64" w:rsidRPr="006C46AB">
        <w:rPr>
          <w:rFonts w:asciiTheme="majorHAnsi" w:hAnsiTheme="majorHAnsi"/>
          <w:sz w:val="20"/>
          <w:szCs w:val="20"/>
        </w:rPr>
        <w:t xml:space="preserve"> PJ.</w:t>
      </w:r>
      <w:r w:rsidRPr="006C46AB">
        <w:rPr>
          <w:rFonts w:asciiTheme="majorHAnsi" w:hAnsiTheme="majorHAnsi"/>
          <w:sz w:val="20"/>
          <w:szCs w:val="20"/>
        </w:rPr>
        <w:t xml:space="preserve"> </w:t>
      </w:r>
      <w:r w:rsidR="00691E64" w:rsidRPr="006C46AB">
        <w:rPr>
          <w:rFonts w:asciiTheme="majorHAnsi" w:hAnsiTheme="majorHAnsi"/>
          <w:sz w:val="20"/>
          <w:szCs w:val="20"/>
        </w:rPr>
        <w:t xml:space="preserve">Gastrointestinal effects of eating </w:t>
      </w:r>
      <w:proofErr w:type="spellStart"/>
      <w:r w:rsidR="00691E64" w:rsidRPr="006C46AB">
        <w:rPr>
          <w:rFonts w:asciiTheme="majorHAnsi" w:hAnsiTheme="majorHAnsi"/>
          <w:sz w:val="20"/>
          <w:szCs w:val="20"/>
        </w:rPr>
        <w:t>quinoa</w:t>
      </w:r>
      <w:proofErr w:type="spellEnd"/>
      <w:r w:rsidR="00691E64" w:rsidRPr="006C46AB">
        <w:rPr>
          <w:rFonts w:asciiTheme="majorHAnsi" w:hAnsiTheme="majorHAnsi"/>
          <w:sz w:val="20"/>
          <w:szCs w:val="20"/>
        </w:rPr>
        <w:t xml:space="preserve"> (</w:t>
      </w:r>
      <w:proofErr w:type="spellStart"/>
      <w:r w:rsidR="00691E64" w:rsidRPr="006C46AB">
        <w:rPr>
          <w:rFonts w:asciiTheme="majorHAnsi" w:hAnsiTheme="majorHAnsi"/>
          <w:sz w:val="20"/>
          <w:szCs w:val="20"/>
        </w:rPr>
        <w:t>Chenopodium</w:t>
      </w:r>
      <w:proofErr w:type="spellEnd"/>
      <w:r w:rsidR="00691E64" w:rsidRPr="006C46AB">
        <w:rPr>
          <w:rFonts w:asciiTheme="majorHAnsi" w:hAnsiTheme="majorHAnsi"/>
          <w:sz w:val="20"/>
          <w:szCs w:val="20"/>
        </w:rPr>
        <w:t xml:space="preserve"> </w:t>
      </w:r>
      <w:proofErr w:type="spellStart"/>
      <w:r w:rsidR="00691E64" w:rsidRPr="006C46AB">
        <w:rPr>
          <w:rFonts w:asciiTheme="majorHAnsi" w:hAnsiTheme="majorHAnsi"/>
          <w:sz w:val="20"/>
          <w:szCs w:val="20"/>
        </w:rPr>
        <w:t>quinoa</w:t>
      </w:r>
      <w:proofErr w:type="spellEnd"/>
      <w:r w:rsidR="00691E64" w:rsidRPr="006C46AB">
        <w:rPr>
          <w:rFonts w:asciiTheme="majorHAnsi" w:hAnsiTheme="majorHAnsi"/>
          <w:sz w:val="20"/>
          <w:szCs w:val="20"/>
        </w:rPr>
        <w:t xml:space="preserve"> </w:t>
      </w:r>
      <w:proofErr w:type="spellStart"/>
      <w:r w:rsidR="00691E64" w:rsidRPr="006C46AB">
        <w:rPr>
          <w:rFonts w:asciiTheme="majorHAnsi" w:hAnsiTheme="majorHAnsi"/>
          <w:sz w:val="20"/>
          <w:szCs w:val="20"/>
        </w:rPr>
        <w:t>Willd</w:t>
      </w:r>
      <w:proofErr w:type="spellEnd"/>
      <w:r w:rsidR="00691E64" w:rsidRPr="006C46AB">
        <w:rPr>
          <w:rFonts w:asciiTheme="majorHAnsi" w:hAnsiTheme="majorHAnsi"/>
          <w:sz w:val="20"/>
          <w:szCs w:val="20"/>
        </w:rPr>
        <w:t xml:space="preserve">.) in celiac patients. Am J </w:t>
      </w:r>
      <w:proofErr w:type="spellStart"/>
      <w:r w:rsidR="00691E64" w:rsidRPr="006C46AB">
        <w:rPr>
          <w:rFonts w:asciiTheme="majorHAnsi" w:hAnsiTheme="majorHAnsi"/>
          <w:sz w:val="20"/>
          <w:szCs w:val="20"/>
        </w:rPr>
        <w:t>Gastroenterol</w:t>
      </w:r>
      <w:proofErr w:type="spellEnd"/>
      <w:r w:rsidR="00691E64" w:rsidRPr="006C46AB">
        <w:rPr>
          <w:rFonts w:asciiTheme="majorHAnsi" w:hAnsiTheme="majorHAnsi"/>
          <w:sz w:val="20"/>
          <w:szCs w:val="20"/>
        </w:rPr>
        <w:t>. 2014;</w:t>
      </w:r>
      <w:r w:rsidR="00283F54" w:rsidRPr="006C46AB">
        <w:rPr>
          <w:rFonts w:asciiTheme="majorHAnsi" w:hAnsiTheme="majorHAnsi"/>
          <w:sz w:val="20"/>
          <w:szCs w:val="20"/>
        </w:rPr>
        <w:t xml:space="preserve"> </w:t>
      </w:r>
      <w:r w:rsidR="00691E64" w:rsidRPr="006C46AB">
        <w:rPr>
          <w:rFonts w:asciiTheme="majorHAnsi" w:hAnsiTheme="majorHAnsi"/>
          <w:sz w:val="20"/>
          <w:szCs w:val="20"/>
        </w:rPr>
        <w:t>109:</w:t>
      </w:r>
      <w:r w:rsidR="00283F54" w:rsidRPr="006C46AB">
        <w:rPr>
          <w:rFonts w:asciiTheme="majorHAnsi" w:hAnsiTheme="majorHAnsi"/>
          <w:sz w:val="20"/>
          <w:szCs w:val="20"/>
        </w:rPr>
        <w:t xml:space="preserve"> </w:t>
      </w:r>
      <w:r w:rsidR="00691E64" w:rsidRPr="006C46AB">
        <w:rPr>
          <w:rFonts w:asciiTheme="majorHAnsi" w:hAnsiTheme="majorHAnsi"/>
          <w:sz w:val="20"/>
          <w:szCs w:val="20"/>
        </w:rPr>
        <w:t xml:space="preserve">270-8. </w:t>
      </w:r>
      <w:proofErr w:type="spellStart"/>
      <w:r w:rsidR="00691E64" w:rsidRPr="006C46AB">
        <w:rPr>
          <w:rFonts w:asciiTheme="majorHAnsi" w:hAnsiTheme="majorHAnsi"/>
          <w:sz w:val="20"/>
          <w:szCs w:val="20"/>
        </w:rPr>
        <w:t>doi</w:t>
      </w:r>
      <w:proofErr w:type="spellEnd"/>
      <w:r w:rsidR="00691E64" w:rsidRPr="006C46AB">
        <w:rPr>
          <w:rFonts w:asciiTheme="majorHAnsi" w:hAnsiTheme="majorHAnsi"/>
          <w:sz w:val="20"/>
          <w:szCs w:val="20"/>
        </w:rPr>
        <w:t>: 10.1038/ajg.2013.431.</w:t>
      </w:r>
    </w:p>
    <w:p w14:paraId="62DD8339" w14:textId="77777777" w:rsidR="00691E64" w:rsidRPr="006C46AB" w:rsidRDefault="00691E64" w:rsidP="0025423E">
      <w:pPr>
        <w:widowControl w:val="0"/>
        <w:spacing w:line="360" w:lineRule="auto"/>
        <w:rPr>
          <w:rFonts w:asciiTheme="majorHAnsi" w:hAnsiTheme="majorHAnsi"/>
          <w:sz w:val="20"/>
          <w:szCs w:val="20"/>
        </w:rPr>
      </w:pPr>
    </w:p>
    <w:p w14:paraId="67001E50" w14:textId="58C2B0A2" w:rsidR="00691E64" w:rsidRPr="006C46AB" w:rsidRDefault="00EA1852" w:rsidP="00EA1852">
      <w:pPr>
        <w:widowControl w:val="0"/>
        <w:spacing w:line="360" w:lineRule="auto"/>
        <w:rPr>
          <w:rFonts w:asciiTheme="majorHAnsi" w:hAnsiTheme="majorHAnsi"/>
          <w:sz w:val="20"/>
          <w:szCs w:val="20"/>
        </w:rPr>
      </w:pPr>
      <w:r w:rsidRPr="006C46AB">
        <w:rPr>
          <w:rFonts w:asciiTheme="majorHAnsi" w:hAnsiTheme="majorHAnsi"/>
          <w:sz w:val="20"/>
          <w:szCs w:val="20"/>
        </w:rPr>
        <w:t xml:space="preserve">32 </w:t>
      </w:r>
      <w:proofErr w:type="spellStart"/>
      <w:r w:rsidRPr="006C46AB">
        <w:rPr>
          <w:rFonts w:asciiTheme="majorHAnsi" w:hAnsiTheme="majorHAnsi"/>
          <w:sz w:val="20"/>
          <w:szCs w:val="20"/>
        </w:rPr>
        <w:t>Marchiando</w:t>
      </w:r>
      <w:proofErr w:type="spellEnd"/>
      <w:r w:rsidRPr="006C46AB">
        <w:rPr>
          <w:rFonts w:asciiTheme="majorHAnsi" w:hAnsiTheme="majorHAnsi"/>
          <w:sz w:val="20"/>
          <w:szCs w:val="20"/>
        </w:rPr>
        <w:t xml:space="preserve"> AM, </w:t>
      </w:r>
      <w:proofErr w:type="spellStart"/>
      <w:r w:rsidRPr="006C46AB">
        <w:rPr>
          <w:rFonts w:asciiTheme="majorHAnsi" w:hAnsiTheme="majorHAnsi"/>
          <w:sz w:val="20"/>
          <w:szCs w:val="20"/>
        </w:rPr>
        <w:t>Shen</w:t>
      </w:r>
      <w:proofErr w:type="spellEnd"/>
      <w:r w:rsidRPr="006C46AB">
        <w:rPr>
          <w:rFonts w:asciiTheme="majorHAnsi" w:hAnsiTheme="majorHAnsi"/>
          <w:sz w:val="20"/>
          <w:szCs w:val="20"/>
        </w:rPr>
        <w:t xml:space="preserve"> L, Graham WV, </w:t>
      </w:r>
      <w:r w:rsidR="00A0494D" w:rsidRPr="006C46AB">
        <w:rPr>
          <w:rFonts w:asciiTheme="majorHAnsi" w:hAnsiTheme="majorHAnsi"/>
          <w:sz w:val="20"/>
          <w:szCs w:val="20"/>
        </w:rPr>
        <w:t>et al</w:t>
      </w:r>
      <w:r w:rsidRPr="006C46AB">
        <w:rPr>
          <w:rFonts w:asciiTheme="majorHAnsi" w:hAnsiTheme="majorHAnsi"/>
          <w:sz w:val="20"/>
          <w:szCs w:val="20"/>
        </w:rPr>
        <w:t xml:space="preserve">. The epithelial barrier is maintained by in vivo tight junction expansion during pathologic intestinal epithelial shedding. Gastroenterology. 2011; 140: 1208-1218.e1-2. </w:t>
      </w:r>
      <w:proofErr w:type="spellStart"/>
      <w:r w:rsidRPr="006C46AB">
        <w:rPr>
          <w:rFonts w:asciiTheme="majorHAnsi" w:hAnsiTheme="majorHAnsi"/>
          <w:sz w:val="20"/>
          <w:szCs w:val="20"/>
        </w:rPr>
        <w:t>doi</w:t>
      </w:r>
      <w:proofErr w:type="spellEnd"/>
      <w:r w:rsidRPr="006C46AB">
        <w:rPr>
          <w:rFonts w:asciiTheme="majorHAnsi" w:hAnsiTheme="majorHAnsi"/>
          <w:sz w:val="20"/>
          <w:szCs w:val="20"/>
        </w:rPr>
        <w:t>: 10.1053/j.gastro.2011.01.004.</w:t>
      </w:r>
    </w:p>
    <w:p w14:paraId="0A97BF87" w14:textId="77777777" w:rsidR="00691E64" w:rsidRPr="006C46AB" w:rsidRDefault="00691E64" w:rsidP="0025423E">
      <w:pPr>
        <w:widowControl w:val="0"/>
        <w:spacing w:line="360" w:lineRule="auto"/>
        <w:rPr>
          <w:rFonts w:asciiTheme="majorHAnsi" w:hAnsiTheme="majorHAnsi"/>
          <w:sz w:val="20"/>
          <w:szCs w:val="20"/>
        </w:rPr>
      </w:pPr>
    </w:p>
    <w:p w14:paraId="3467E36B" w14:textId="36D70BFC" w:rsidR="00691E64" w:rsidRPr="006C46AB" w:rsidRDefault="00EA1852" w:rsidP="0025423E">
      <w:pPr>
        <w:widowControl w:val="0"/>
        <w:spacing w:line="360" w:lineRule="auto"/>
        <w:rPr>
          <w:rFonts w:asciiTheme="majorHAnsi" w:hAnsiTheme="majorHAnsi" w:cs="Arial"/>
          <w:sz w:val="20"/>
          <w:szCs w:val="20"/>
          <w:lang w:val="en-US"/>
        </w:rPr>
      </w:pPr>
      <w:r w:rsidRPr="006C46AB">
        <w:rPr>
          <w:rFonts w:asciiTheme="majorHAnsi" w:hAnsiTheme="majorHAnsi"/>
          <w:sz w:val="20"/>
          <w:szCs w:val="20"/>
        </w:rPr>
        <w:t>33</w:t>
      </w:r>
      <w:r w:rsidR="00691E64" w:rsidRPr="006C46AB">
        <w:rPr>
          <w:rFonts w:asciiTheme="majorHAnsi" w:hAnsiTheme="majorHAnsi"/>
          <w:sz w:val="20"/>
          <w:szCs w:val="20"/>
        </w:rPr>
        <w:t xml:space="preserve"> </w:t>
      </w:r>
      <w:r w:rsidR="00691E64" w:rsidRPr="006C46AB">
        <w:rPr>
          <w:rFonts w:asciiTheme="majorHAnsi" w:hAnsiTheme="majorHAnsi" w:cs="Arial"/>
          <w:sz w:val="20"/>
          <w:szCs w:val="20"/>
        </w:rPr>
        <w:t xml:space="preserve">Guan Y, Watson AJM, </w:t>
      </w:r>
      <w:proofErr w:type="spellStart"/>
      <w:r w:rsidR="00691E64" w:rsidRPr="006C46AB">
        <w:rPr>
          <w:rFonts w:asciiTheme="majorHAnsi" w:hAnsiTheme="majorHAnsi" w:cs="Arial"/>
          <w:sz w:val="20"/>
          <w:szCs w:val="20"/>
        </w:rPr>
        <w:t>Marchiando</w:t>
      </w:r>
      <w:proofErr w:type="spellEnd"/>
      <w:r w:rsidR="00691E64" w:rsidRPr="006C46AB">
        <w:rPr>
          <w:rFonts w:asciiTheme="majorHAnsi" w:hAnsiTheme="majorHAnsi" w:cs="Arial"/>
          <w:sz w:val="20"/>
          <w:szCs w:val="20"/>
        </w:rPr>
        <w:t xml:space="preserve"> AM, </w:t>
      </w:r>
      <w:r w:rsidR="00A0494D" w:rsidRPr="006C46AB">
        <w:rPr>
          <w:rFonts w:asciiTheme="majorHAnsi" w:hAnsiTheme="majorHAnsi" w:cs="Arial"/>
          <w:sz w:val="20"/>
          <w:szCs w:val="20"/>
        </w:rPr>
        <w:t>et al</w:t>
      </w:r>
      <w:r w:rsidR="00691E64" w:rsidRPr="006C46AB">
        <w:rPr>
          <w:rFonts w:asciiTheme="majorHAnsi" w:hAnsiTheme="majorHAnsi" w:cs="Arial"/>
          <w:sz w:val="20"/>
          <w:szCs w:val="20"/>
        </w:rPr>
        <w:t>. Redistribution of the tight junction protein ZO-1 during physiologic shedding of mouse intestinal epithelial cells. American Journal of Physiology: Cell Physiology 2011</w:t>
      </w:r>
      <w:r w:rsidR="00691E64" w:rsidRPr="006C46AB">
        <w:rPr>
          <w:rFonts w:asciiTheme="majorHAnsi" w:hAnsiTheme="majorHAnsi" w:cs="Arial"/>
          <w:sz w:val="20"/>
          <w:szCs w:val="20"/>
          <w:lang w:val="en-US"/>
        </w:rPr>
        <w:t>; 300: C1404-14.</w:t>
      </w:r>
    </w:p>
    <w:p w14:paraId="479C02CB" w14:textId="77777777" w:rsidR="003C5179" w:rsidRPr="006C46AB" w:rsidRDefault="003C5179" w:rsidP="0025423E">
      <w:pPr>
        <w:widowControl w:val="0"/>
        <w:spacing w:line="360" w:lineRule="auto"/>
        <w:rPr>
          <w:rFonts w:asciiTheme="majorHAnsi" w:hAnsiTheme="majorHAnsi"/>
          <w:sz w:val="20"/>
          <w:szCs w:val="20"/>
        </w:rPr>
      </w:pPr>
    </w:p>
    <w:p w14:paraId="21083692" w14:textId="348349E7" w:rsidR="00B938FE" w:rsidRPr="006C46AB" w:rsidRDefault="006F1C78" w:rsidP="0025423E">
      <w:pPr>
        <w:widowControl w:val="0"/>
        <w:spacing w:line="360" w:lineRule="auto"/>
        <w:rPr>
          <w:rFonts w:asciiTheme="majorHAnsi" w:hAnsiTheme="majorHAnsi"/>
          <w:sz w:val="20"/>
          <w:szCs w:val="20"/>
        </w:rPr>
      </w:pPr>
      <w:r w:rsidRPr="006C46AB">
        <w:rPr>
          <w:rFonts w:asciiTheme="majorHAnsi" w:hAnsiTheme="majorHAnsi"/>
          <w:sz w:val="20"/>
          <w:szCs w:val="20"/>
        </w:rPr>
        <w:t>34</w:t>
      </w:r>
      <w:r w:rsidR="00760D85" w:rsidRPr="006C46AB">
        <w:rPr>
          <w:rFonts w:asciiTheme="majorHAnsi" w:hAnsiTheme="majorHAnsi"/>
          <w:sz w:val="20"/>
          <w:szCs w:val="20"/>
        </w:rPr>
        <w:t xml:space="preserve"> </w:t>
      </w:r>
      <w:r w:rsidR="00B938FE" w:rsidRPr="006C46AB">
        <w:rPr>
          <w:rFonts w:asciiTheme="majorHAnsi" w:hAnsiTheme="majorHAnsi"/>
          <w:sz w:val="20"/>
          <w:szCs w:val="20"/>
        </w:rPr>
        <w:t xml:space="preserve">Petri WA, Naylor C, </w:t>
      </w:r>
      <w:proofErr w:type="spellStart"/>
      <w:r w:rsidR="00B938FE" w:rsidRPr="006C46AB">
        <w:rPr>
          <w:rFonts w:asciiTheme="majorHAnsi" w:hAnsiTheme="majorHAnsi"/>
          <w:sz w:val="20"/>
          <w:szCs w:val="20"/>
        </w:rPr>
        <w:t>Haque</w:t>
      </w:r>
      <w:proofErr w:type="spellEnd"/>
      <w:r w:rsidR="00B938FE" w:rsidRPr="006C46AB">
        <w:rPr>
          <w:rFonts w:asciiTheme="majorHAnsi" w:hAnsiTheme="majorHAnsi"/>
          <w:sz w:val="20"/>
          <w:szCs w:val="20"/>
        </w:rPr>
        <w:t xml:space="preserve"> R. Environmental enteropathy and malnutrition: do we know enough to intervene? BMC Medicine 2014; 12: 187. </w:t>
      </w:r>
    </w:p>
    <w:p w14:paraId="2BB6F843" w14:textId="77777777" w:rsidR="006F1C78" w:rsidRPr="006C46AB" w:rsidRDefault="006F1C78" w:rsidP="0025423E">
      <w:pPr>
        <w:widowControl w:val="0"/>
        <w:spacing w:line="360" w:lineRule="auto"/>
        <w:rPr>
          <w:rFonts w:asciiTheme="majorHAnsi" w:hAnsiTheme="majorHAnsi"/>
          <w:sz w:val="20"/>
          <w:szCs w:val="20"/>
        </w:rPr>
      </w:pPr>
    </w:p>
    <w:p w14:paraId="255EF7E9" w14:textId="02D820C7" w:rsidR="006F1C78" w:rsidRPr="006C46AB" w:rsidRDefault="006F1C78" w:rsidP="006F1C78">
      <w:pPr>
        <w:widowControl w:val="0"/>
        <w:spacing w:line="360" w:lineRule="auto"/>
        <w:rPr>
          <w:rFonts w:asciiTheme="majorHAnsi" w:hAnsiTheme="majorHAnsi"/>
          <w:sz w:val="20"/>
          <w:szCs w:val="20"/>
        </w:rPr>
      </w:pPr>
      <w:r w:rsidRPr="006C46AB">
        <w:rPr>
          <w:rFonts w:asciiTheme="majorHAnsi" w:hAnsiTheme="majorHAnsi"/>
          <w:sz w:val="20"/>
          <w:szCs w:val="20"/>
        </w:rPr>
        <w:t>35</w:t>
      </w:r>
      <w:r w:rsidRPr="006C46AB">
        <w:t xml:space="preserve"> </w:t>
      </w:r>
      <w:r w:rsidRPr="006C46AB">
        <w:rPr>
          <w:rFonts w:asciiTheme="majorHAnsi" w:hAnsiTheme="majorHAnsi"/>
          <w:sz w:val="20"/>
          <w:szCs w:val="20"/>
        </w:rPr>
        <w:t xml:space="preserve">Williams JM, Duckworth CA, Watson AJ, </w:t>
      </w:r>
      <w:r w:rsidR="00A0494D" w:rsidRPr="006C46AB">
        <w:rPr>
          <w:rFonts w:asciiTheme="majorHAnsi" w:hAnsiTheme="majorHAnsi"/>
          <w:sz w:val="20"/>
          <w:szCs w:val="20"/>
        </w:rPr>
        <w:t>et al</w:t>
      </w:r>
      <w:r w:rsidRPr="006C46AB">
        <w:rPr>
          <w:rFonts w:asciiTheme="majorHAnsi" w:hAnsiTheme="majorHAnsi"/>
          <w:sz w:val="20"/>
          <w:szCs w:val="20"/>
        </w:rPr>
        <w:t xml:space="preserve">. A mouse model of pathological small intestinal epithelial cell apoptosis and shedding induced by systemic administration of lipopolysaccharide. Dis Model Mech. 2013; 6: 1388-99. </w:t>
      </w:r>
      <w:proofErr w:type="spellStart"/>
      <w:r w:rsidRPr="006C46AB">
        <w:rPr>
          <w:rFonts w:asciiTheme="majorHAnsi" w:hAnsiTheme="majorHAnsi"/>
          <w:sz w:val="20"/>
          <w:szCs w:val="20"/>
        </w:rPr>
        <w:t>doi</w:t>
      </w:r>
      <w:proofErr w:type="spellEnd"/>
      <w:r w:rsidRPr="006C46AB">
        <w:rPr>
          <w:rFonts w:asciiTheme="majorHAnsi" w:hAnsiTheme="majorHAnsi"/>
          <w:sz w:val="20"/>
          <w:szCs w:val="20"/>
        </w:rPr>
        <w:t>: 10.1242/dmm.013284.</w:t>
      </w:r>
    </w:p>
    <w:p w14:paraId="5322489E" w14:textId="77777777" w:rsidR="00B938FE" w:rsidRPr="006C46AB" w:rsidRDefault="00B938FE" w:rsidP="0025423E">
      <w:pPr>
        <w:widowControl w:val="0"/>
        <w:spacing w:line="360" w:lineRule="auto"/>
        <w:rPr>
          <w:rFonts w:asciiTheme="majorHAnsi" w:hAnsiTheme="majorHAnsi"/>
          <w:sz w:val="20"/>
          <w:szCs w:val="20"/>
        </w:rPr>
      </w:pPr>
    </w:p>
    <w:p w14:paraId="004114F9" w14:textId="41557989" w:rsidR="000168D4" w:rsidRPr="006C46AB" w:rsidRDefault="00691E64" w:rsidP="000168D4">
      <w:pPr>
        <w:widowControl w:val="0"/>
        <w:spacing w:line="360" w:lineRule="auto"/>
        <w:rPr>
          <w:rFonts w:asciiTheme="majorHAnsi" w:hAnsiTheme="majorHAnsi"/>
          <w:sz w:val="20"/>
          <w:szCs w:val="20"/>
        </w:rPr>
      </w:pPr>
      <w:r w:rsidRPr="006C46AB">
        <w:rPr>
          <w:rFonts w:asciiTheme="majorHAnsi" w:hAnsiTheme="majorHAnsi"/>
          <w:sz w:val="20"/>
          <w:szCs w:val="20"/>
        </w:rPr>
        <w:t>36</w:t>
      </w:r>
      <w:r w:rsidR="000168D4" w:rsidRPr="006C46AB">
        <w:rPr>
          <w:rFonts w:asciiTheme="majorHAnsi" w:hAnsiTheme="majorHAnsi"/>
          <w:sz w:val="20"/>
          <w:szCs w:val="20"/>
        </w:rPr>
        <w:t xml:space="preserve"> </w:t>
      </w:r>
      <w:proofErr w:type="spellStart"/>
      <w:r w:rsidR="000168D4" w:rsidRPr="006C46AB">
        <w:rPr>
          <w:rFonts w:asciiTheme="majorHAnsi" w:hAnsiTheme="majorHAnsi"/>
          <w:sz w:val="20"/>
          <w:szCs w:val="20"/>
        </w:rPr>
        <w:t>Marchetti</w:t>
      </w:r>
      <w:proofErr w:type="spellEnd"/>
      <w:r w:rsidR="000168D4" w:rsidRPr="006C46AB">
        <w:rPr>
          <w:rFonts w:asciiTheme="majorHAnsi" w:hAnsiTheme="majorHAnsi"/>
          <w:sz w:val="20"/>
          <w:szCs w:val="20"/>
        </w:rPr>
        <w:t xml:space="preserve"> G, </w:t>
      </w:r>
      <w:proofErr w:type="spellStart"/>
      <w:r w:rsidR="000168D4" w:rsidRPr="006C46AB">
        <w:rPr>
          <w:rFonts w:asciiTheme="majorHAnsi" w:hAnsiTheme="majorHAnsi"/>
          <w:sz w:val="20"/>
          <w:szCs w:val="20"/>
        </w:rPr>
        <w:t>Tincati</w:t>
      </w:r>
      <w:proofErr w:type="spellEnd"/>
      <w:r w:rsidR="000168D4" w:rsidRPr="006C46AB">
        <w:rPr>
          <w:rFonts w:asciiTheme="majorHAnsi" w:hAnsiTheme="majorHAnsi"/>
          <w:sz w:val="20"/>
          <w:szCs w:val="20"/>
        </w:rPr>
        <w:t xml:space="preserve"> C, </w:t>
      </w:r>
      <w:proofErr w:type="spellStart"/>
      <w:r w:rsidR="000168D4" w:rsidRPr="006C46AB">
        <w:rPr>
          <w:rFonts w:asciiTheme="majorHAnsi" w:hAnsiTheme="majorHAnsi"/>
          <w:sz w:val="20"/>
          <w:szCs w:val="20"/>
        </w:rPr>
        <w:t>Silvestri</w:t>
      </w:r>
      <w:proofErr w:type="spellEnd"/>
      <w:r w:rsidR="000168D4" w:rsidRPr="006C46AB">
        <w:rPr>
          <w:rFonts w:asciiTheme="majorHAnsi" w:hAnsiTheme="majorHAnsi"/>
          <w:sz w:val="20"/>
          <w:szCs w:val="20"/>
        </w:rPr>
        <w:t xml:space="preserve"> G. Microbial Translocation in the Pathogenesis of HIV Infection and</w:t>
      </w:r>
    </w:p>
    <w:p w14:paraId="4CD59934" w14:textId="1E0BF7E5" w:rsidR="000168D4" w:rsidRPr="006C46AB" w:rsidRDefault="000168D4" w:rsidP="000168D4">
      <w:pPr>
        <w:widowControl w:val="0"/>
        <w:spacing w:line="360" w:lineRule="auto"/>
        <w:rPr>
          <w:rFonts w:asciiTheme="majorHAnsi" w:hAnsiTheme="majorHAnsi"/>
          <w:sz w:val="20"/>
          <w:szCs w:val="20"/>
        </w:rPr>
      </w:pPr>
      <w:r w:rsidRPr="006C46AB">
        <w:rPr>
          <w:rFonts w:asciiTheme="majorHAnsi" w:hAnsiTheme="majorHAnsi"/>
          <w:sz w:val="20"/>
          <w:szCs w:val="20"/>
        </w:rPr>
        <w:t xml:space="preserve">AIDS. </w:t>
      </w:r>
      <w:proofErr w:type="spellStart"/>
      <w:r w:rsidRPr="006C46AB">
        <w:rPr>
          <w:rFonts w:asciiTheme="majorHAnsi" w:hAnsiTheme="majorHAnsi"/>
          <w:sz w:val="20"/>
          <w:szCs w:val="20"/>
        </w:rPr>
        <w:t>Clin</w:t>
      </w:r>
      <w:proofErr w:type="spellEnd"/>
      <w:r w:rsidRPr="006C46AB">
        <w:rPr>
          <w:rFonts w:asciiTheme="majorHAnsi" w:hAnsiTheme="majorHAnsi"/>
          <w:sz w:val="20"/>
          <w:szCs w:val="20"/>
        </w:rPr>
        <w:t xml:space="preserve"> </w:t>
      </w:r>
      <w:proofErr w:type="spellStart"/>
      <w:r w:rsidRPr="006C46AB">
        <w:rPr>
          <w:rFonts w:asciiTheme="majorHAnsi" w:hAnsiTheme="majorHAnsi"/>
          <w:sz w:val="20"/>
          <w:szCs w:val="20"/>
        </w:rPr>
        <w:t>Microbiol</w:t>
      </w:r>
      <w:proofErr w:type="spellEnd"/>
      <w:r w:rsidRPr="006C46AB">
        <w:rPr>
          <w:rFonts w:asciiTheme="majorHAnsi" w:hAnsiTheme="majorHAnsi"/>
          <w:sz w:val="20"/>
          <w:szCs w:val="20"/>
        </w:rPr>
        <w:t xml:space="preserve"> Rev 2013; 26: 2-18.</w:t>
      </w:r>
    </w:p>
    <w:p w14:paraId="25EA069A" w14:textId="77777777" w:rsidR="000168D4" w:rsidRPr="006C46AB" w:rsidRDefault="000168D4" w:rsidP="000168D4">
      <w:pPr>
        <w:widowControl w:val="0"/>
        <w:spacing w:line="360" w:lineRule="auto"/>
        <w:rPr>
          <w:rFonts w:asciiTheme="majorHAnsi" w:hAnsiTheme="majorHAnsi"/>
          <w:sz w:val="20"/>
          <w:szCs w:val="20"/>
        </w:rPr>
      </w:pPr>
    </w:p>
    <w:p w14:paraId="4CF203D0" w14:textId="71AF2AA3" w:rsidR="002A2AA2" w:rsidRPr="006C46AB" w:rsidRDefault="00691E64" w:rsidP="00702729">
      <w:pPr>
        <w:widowControl w:val="0"/>
        <w:spacing w:line="360" w:lineRule="auto"/>
        <w:rPr>
          <w:rFonts w:asciiTheme="majorHAnsi" w:hAnsiTheme="majorHAnsi"/>
          <w:sz w:val="20"/>
          <w:szCs w:val="20"/>
        </w:rPr>
      </w:pPr>
      <w:r w:rsidRPr="006C46AB">
        <w:rPr>
          <w:rFonts w:asciiTheme="majorHAnsi" w:hAnsiTheme="majorHAnsi"/>
          <w:sz w:val="20"/>
          <w:szCs w:val="20"/>
        </w:rPr>
        <w:t>37</w:t>
      </w:r>
      <w:r w:rsidR="00702729" w:rsidRPr="006C46AB">
        <w:rPr>
          <w:rFonts w:asciiTheme="majorHAnsi" w:hAnsiTheme="majorHAnsi"/>
          <w:sz w:val="20"/>
          <w:szCs w:val="20"/>
        </w:rPr>
        <w:t xml:space="preserve"> </w:t>
      </w:r>
      <w:proofErr w:type="spellStart"/>
      <w:r w:rsidR="00702729" w:rsidRPr="006C46AB">
        <w:rPr>
          <w:rFonts w:asciiTheme="majorHAnsi" w:hAnsiTheme="majorHAnsi"/>
          <w:sz w:val="20"/>
          <w:szCs w:val="20"/>
        </w:rPr>
        <w:t>Manary</w:t>
      </w:r>
      <w:proofErr w:type="spellEnd"/>
      <w:r w:rsidR="00702729" w:rsidRPr="006C46AB">
        <w:rPr>
          <w:rFonts w:asciiTheme="majorHAnsi" w:hAnsiTheme="majorHAnsi"/>
          <w:sz w:val="20"/>
          <w:szCs w:val="20"/>
        </w:rPr>
        <w:t xml:space="preserve"> MJ, </w:t>
      </w:r>
      <w:proofErr w:type="spellStart"/>
      <w:r w:rsidR="00702729" w:rsidRPr="006C46AB">
        <w:rPr>
          <w:rFonts w:asciiTheme="majorHAnsi" w:hAnsiTheme="majorHAnsi"/>
          <w:sz w:val="20"/>
          <w:szCs w:val="20"/>
        </w:rPr>
        <w:t>Hotz</w:t>
      </w:r>
      <w:proofErr w:type="spellEnd"/>
      <w:r w:rsidR="00702729" w:rsidRPr="006C46AB">
        <w:rPr>
          <w:rFonts w:asciiTheme="majorHAnsi" w:hAnsiTheme="majorHAnsi"/>
          <w:sz w:val="20"/>
          <w:szCs w:val="20"/>
        </w:rPr>
        <w:t xml:space="preserve"> C, Krebs NF, </w:t>
      </w:r>
      <w:r w:rsidR="00A0494D" w:rsidRPr="006C46AB">
        <w:rPr>
          <w:rFonts w:asciiTheme="majorHAnsi" w:hAnsiTheme="majorHAnsi"/>
          <w:sz w:val="20"/>
          <w:szCs w:val="20"/>
        </w:rPr>
        <w:t>et al</w:t>
      </w:r>
      <w:r w:rsidR="00702729" w:rsidRPr="006C46AB">
        <w:rPr>
          <w:rFonts w:asciiTheme="majorHAnsi" w:hAnsiTheme="majorHAnsi"/>
          <w:sz w:val="20"/>
          <w:szCs w:val="20"/>
        </w:rPr>
        <w:t>. Zinc homeostasis in Malawian children consuming a high-</w:t>
      </w:r>
      <w:proofErr w:type="spellStart"/>
      <w:r w:rsidR="00702729" w:rsidRPr="006C46AB">
        <w:rPr>
          <w:rFonts w:asciiTheme="majorHAnsi" w:hAnsiTheme="majorHAnsi"/>
          <w:sz w:val="20"/>
          <w:szCs w:val="20"/>
        </w:rPr>
        <w:t>phytate</w:t>
      </w:r>
      <w:proofErr w:type="spellEnd"/>
      <w:r w:rsidR="00702729" w:rsidRPr="006C46AB">
        <w:rPr>
          <w:rFonts w:asciiTheme="majorHAnsi" w:hAnsiTheme="majorHAnsi"/>
          <w:sz w:val="20"/>
          <w:szCs w:val="20"/>
        </w:rPr>
        <w:t xml:space="preserve">, maize-based diet. </w:t>
      </w:r>
      <w:r w:rsidR="00702729" w:rsidRPr="006C46AB">
        <w:rPr>
          <w:rFonts w:asciiTheme="majorHAnsi" w:hAnsiTheme="majorHAnsi" w:cs="Times New Roman"/>
          <w:sz w:val="20"/>
          <w:szCs w:val="20"/>
          <w:lang w:val="en-US"/>
        </w:rPr>
        <w:t xml:space="preserve">Am J </w:t>
      </w:r>
      <w:proofErr w:type="spellStart"/>
      <w:r w:rsidR="00702729" w:rsidRPr="006C46AB">
        <w:rPr>
          <w:rFonts w:asciiTheme="majorHAnsi" w:hAnsiTheme="majorHAnsi" w:cs="Times New Roman"/>
          <w:sz w:val="20"/>
          <w:szCs w:val="20"/>
          <w:lang w:val="en-US"/>
        </w:rPr>
        <w:t>Clin</w:t>
      </w:r>
      <w:proofErr w:type="spellEnd"/>
      <w:r w:rsidR="00702729" w:rsidRPr="006C46AB">
        <w:rPr>
          <w:rFonts w:asciiTheme="majorHAnsi" w:hAnsiTheme="majorHAnsi" w:cs="Times New Roman"/>
          <w:sz w:val="20"/>
          <w:szCs w:val="20"/>
          <w:lang w:val="en-US"/>
        </w:rPr>
        <w:t xml:space="preserve"> </w:t>
      </w:r>
      <w:proofErr w:type="spellStart"/>
      <w:r w:rsidR="00702729" w:rsidRPr="006C46AB">
        <w:rPr>
          <w:rFonts w:asciiTheme="majorHAnsi" w:hAnsiTheme="majorHAnsi" w:cs="Times New Roman"/>
          <w:sz w:val="20"/>
          <w:szCs w:val="20"/>
          <w:lang w:val="en-US"/>
        </w:rPr>
        <w:t>Nutr</w:t>
      </w:r>
      <w:proofErr w:type="spellEnd"/>
      <w:r w:rsidR="00702729" w:rsidRPr="006C46AB">
        <w:rPr>
          <w:rFonts w:asciiTheme="majorHAnsi" w:hAnsiTheme="majorHAnsi" w:cs="Times New Roman"/>
          <w:sz w:val="20"/>
          <w:szCs w:val="20"/>
          <w:lang w:val="en-US"/>
        </w:rPr>
        <w:t xml:space="preserve"> 2002;75:1057–61.</w:t>
      </w:r>
    </w:p>
    <w:p w14:paraId="3CDA9219" w14:textId="77777777" w:rsidR="00702729" w:rsidRPr="006C46AB" w:rsidRDefault="00702729" w:rsidP="000168D4">
      <w:pPr>
        <w:widowControl w:val="0"/>
        <w:spacing w:line="360" w:lineRule="auto"/>
        <w:rPr>
          <w:rFonts w:asciiTheme="majorHAnsi" w:hAnsiTheme="majorHAnsi"/>
          <w:sz w:val="20"/>
          <w:szCs w:val="20"/>
        </w:rPr>
      </w:pPr>
    </w:p>
    <w:p w14:paraId="12E5E3E8" w14:textId="275541B6" w:rsidR="00702729" w:rsidRPr="006C46AB" w:rsidRDefault="00691E64" w:rsidP="00702729">
      <w:pPr>
        <w:widowControl w:val="0"/>
        <w:spacing w:line="360" w:lineRule="auto"/>
        <w:rPr>
          <w:rFonts w:asciiTheme="majorHAnsi" w:hAnsiTheme="majorHAnsi"/>
          <w:sz w:val="20"/>
          <w:szCs w:val="20"/>
        </w:rPr>
      </w:pPr>
      <w:r w:rsidRPr="006C46AB">
        <w:rPr>
          <w:rFonts w:asciiTheme="majorHAnsi" w:hAnsiTheme="majorHAnsi"/>
          <w:sz w:val="20"/>
          <w:szCs w:val="20"/>
        </w:rPr>
        <w:t>38</w:t>
      </w:r>
      <w:r w:rsidR="00702729" w:rsidRPr="006C46AB">
        <w:rPr>
          <w:rFonts w:asciiTheme="majorHAnsi" w:hAnsiTheme="majorHAnsi"/>
          <w:sz w:val="20"/>
          <w:szCs w:val="20"/>
        </w:rPr>
        <w:t xml:space="preserve"> </w:t>
      </w:r>
      <w:proofErr w:type="spellStart"/>
      <w:r w:rsidR="00702729" w:rsidRPr="006C46AB">
        <w:rPr>
          <w:rFonts w:asciiTheme="majorHAnsi" w:hAnsiTheme="majorHAnsi"/>
          <w:sz w:val="20"/>
          <w:szCs w:val="22"/>
        </w:rPr>
        <w:t>Illing</w:t>
      </w:r>
      <w:proofErr w:type="spellEnd"/>
      <w:r w:rsidR="00702729" w:rsidRPr="006C46AB">
        <w:rPr>
          <w:rFonts w:asciiTheme="majorHAnsi" w:hAnsiTheme="majorHAnsi"/>
          <w:sz w:val="20"/>
          <w:szCs w:val="22"/>
        </w:rPr>
        <w:t xml:space="preserve"> AC, </w:t>
      </w:r>
      <w:proofErr w:type="spellStart"/>
      <w:r w:rsidR="00702729" w:rsidRPr="006C46AB">
        <w:rPr>
          <w:rFonts w:asciiTheme="majorHAnsi" w:hAnsiTheme="majorHAnsi"/>
          <w:sz w:val="20"/>
          <w:szCs w:val="22"/>
        </w:rPr>
        <w:t>Shawki</w:t>
      </w:r>
      <w:proofErr w:type="spellEnd"/>
      <w:r w:rsidR="00702729" w:rsidRPr="006C46AB">
        <w:rPr>
          <w:rFonts w:asciiTheme="majorHAnsi" w:hAnsiTheme="majorHAnsi"/>
          <w:sz w:val="20"/>
          <w:szCs w:val="22"/>
        </w:rPr>
        <w:t xml:space="preserve"> A, Cunningham CL, </w:t>
      </w:r>
      <w:r w:rsidR="00283F54" w:rsidRPr="006C46AB">
        <w:rPr>
          <w:rFonts w:asciiTheme="majorHAnsi" w:hAnsiTheme="majorHAnsi"/>
          <w:sz w:val="20"/>
          <w:szCs w:val="22"/>
        </w:rPr>
        <w:t>et al</w:t>
      </w:r>
      <w:r w:rsidR="00702729" w:rsidRPr="006C46AB">
        <w:rPr>
          <w:rFonts w:asciiTheme="majorHAnsi" w:hAnsiTheme="majorHAnsi"/>
          <w:sz w:val="20"/>
          <w:szCs w:val="22"/>
        </w:rPr>
        <w:t xml:space="preserve">. Substrate Profile and Metal-ion Selectivity of Human Divalent Metal-ion </w:t>
      </w:r>
      <w:r w:rsidR="00702729" w:rsidRPr="006C46AB">
        <w:rPr>
          <w:rFonts w:asciiTheme="majorHAnsi" w:hAnsiTheme="majorHAnsi"/>
          <w:sz w:val="20"/>
          <w:szCs w:val="20"/>
        </w:rPr>
        <w:t xml:space="preserve">Transporter-1. J </w:t>
      </w:r>
      <w:proofErr w:type="spellStart"/>
      <w:r w:rsidR="00702729" w:rsidRPr="006C46AB">
        <w:rPr>
          <w:rFonts w:asciiTheme="majorHAnsi" w:hAnsiTheme="majorHAnsi"/>
          <w:sz w:val="20"/>
          <w:szCs w:val="20"/>
        </w:rPr>
        <w:t>Biol</w:t>
      </w:r>
      <w:proofErr w:type="spellEnd"/>
      <w:r w:rsidR="00702729" w:rsidRPr="006C46AB">
        <w:rPr>
          <w:rFonts w:asciiTheme="majorHAnsi" w:hAnsiTheme="majorHAnsi"/>
          <w:sz w:val="20"/>
          <w:szCs w:val="20"/>
        </w:rPr>
        <w:t xml:space="preserve"> </w:t>
      </w:r>
      <w:proofErr w:type="spellStart"/>
      <w:r w:rsidR="00702729" w:rsidRPr="006C46AB">
        <w:rPr>
          <w:rFonts w:asciiTheme="majorHAnsi" w:hAnsiTheme="majorHAnsi"/>
          <w:sz w:val="20"/>
          <w:szCs w:val="20"/>
        </w:rPr>
        <w:t>Chem</w:t>
      </w:r>
      <w:proofErr w:type="spellEnd"/>
      <w:r w:rsidR="00702729" w:rsidRPr="006C46AB">
        <w:rPr>
          <w:rFonts w:asciiTheme="majorHAnsi" w:hAnsiTheme="majorHAnsi"/>
          <w:sz w:val="20"/>
          <w:szCs w:val="20"/>
        </w:rPr>
        <w:t xml:space="preserve"> 2012; 287: 30485-30496. </w:t>
      </w:r>
    </w:p>
    <w:p w14:paraId="7A592777" w14:textId="494BE888" w:rsidR="00702729" w:rsidRPr="006C46AB" w:rsidRDefault="00702729" w:rsidP="000168D4">
      <w:pPr>
        <w:widowControl w:val="0"/>
        <w:spacing w:line="360" w:lineRule="auto"/>
        <w:rPr>
          <w:rFonts w:asciiTheme="majorHAnsi" w:hAnsiTheme="majorHAnsi"/>
          <w:sz w:val="20"/>
          <w:szCs w:val="20"/>
        </w:rPr>
      </w:pPr>
    </w:p>
    <w:p w14:paraId="44E6D119" w14:textId="0EFCA985" w:rsidR="00D54F56" w:rsidRPr="006C46AB" w:rsidRDefault="008D628B" w:rsidP="00D54F56">
      <w:pPr>
        <w:widowControl w:val="0"/>
        <w:spacing w:line="360" w:lineRule="auto"/>
        <w:rPr>
          <w:rFonts w:asciiTheme="majorHAnsi" w:hAnsiTheme="majorHAnsi"/>
          <w:sz w:val="16"/>
          <w:szCs w:val="20"/>
        </w:rPr>
      </w:pPr>
      <w:r w:rsidRPr="006C46AB">
        <w:rPr>
          <w:rFonts w:asciiTheme="majorHAnsi" w:hAnsiTheme="majorHAnsi"/>
          <w:sz w:val="20"/>
          <w:szCs w:val="20"/>
        </w:rPr>
        <w:t xml:space="preserve">39 </w:t>
      </w:r>
      <w:r w:rsidR="006B76B5" w:rsidRPr="006C46AB">
        <w:rPr>
          <w:rFonts w:asciiTheme="majorHAnsi" w:hAnsiTheme="majorHAnsi"/>
          <w:sz w:val="20"/>
          <w:szCs w:val="20"/>
        </w:rPr>
        <w:t>Kelly P</w:t>
      </w:r>
      <w:r w:rsidR="006B76B5" w:rsidRPr="006C46AB">
        <w:rPr>
          <w:rFonts w:asciiTheme="majorHAnsi" w:hAnsiTheme="majorHAnsi"/>
          <w:sz w:val="20"/>
        </w:rPr>
        <w:t xml:space="preserve">, </w:t>
      </w:r>
      <w:proofErr w:type="spellStart"/>
      <w:r w:rsidR="006B76B5" w:rsidRPr="006C46AB">
        <w:rPr>
          <w:rFonts w:asciiTheme="majorHAnsi" w:hAnsiTheme="majorHAnsi"/>
          <w:sz w:val="20"/>
        </w:rPr>
        <w:t>Shawa</w:t>
      </w:r>
      <w:proofErr w:type="spellEnd"/>
      <w:r w:rsidR="006B76B5" w:rsidRPr="006C46AB">
        <w:rPr>
          <w:rFonts w:asciiTheme="majorHAnsi" w:hAnsiTheme="majorHAnsi"/>
          <w:sz w:val="20"/>
        </w:rPr>
        <w:t xml:space="preserve"> T, </w:t>
      </w:r>
      <w:proofErr w:type="spellStart"/>
      <w:r w:rsidR="006B76B5" w:rsidRPr="006C46AB">
        <w:rPr>
          <w:rFonts w:asciiTheme="majorHAnsi" w:hAnsiTheme="majorHAnsi"/>
          <w:sz w:val="20"/>
        </w:rPr>
        <w:t>Mwanamakondo</w:t>
      </w:r>
      <w:proofErr w:type="spellEnd"/>
      <w:r w:rsidR="006B76B5" w:rsidRPr="006C46AB">
        <w:rPr>
          <w:rFonts w:asciiTheme="majorHAnsi" w:hAnsiTheme="majorHAnsi"/>
          <w:sz w:val="20"/>
        </w:rPr>
        <w:t xml:space="preserve"> S, et al. Gastric and intestinal barrier impairment in tropical enteropathy and HIV: limited impact of micronutrient supplementation during a randomised controlled trial.</w:t>
      </w:r>
      <w:r w:rsidR="006B76B5" w:rsidRPr="006C46AB">
        <w:rPr>
          <w:rFonts w:asciiTheme="majorHAnsi" w:hAnsiTheme="majorHAnsi"/>
          <w:bCs/>
        </w:rPr>
        <w:t xml:space="preserve"> </w:t>
      </w:r>
      <w:r w:rsidR="006B76B5" w:rsidRPr="006C46AB">
        <w:rPr>
          <w:rFonts w:asciiTheme="majorHAnsi" w:hAnsiTheme="majorHAnsi"/>
          <w:bCs/>
          <w:i/>
          <w:sz w:val="20"/>
        </w:rPr>
        <w:t>BMC Gastroenterology</w:t>
      </w:r>
      <w:r w:rsidR="006B76B5" w:rsidRPr="006C46AB">
        <w:rPr>
          <w:rFonts w:asciiTheme="majorHAnsi" w:hAnsiTheme="majorHAnsi"/>
          <w:bCs/>
          <w:sz w:val="20"/>
        </w:rPr>
        <w:t xml:space="preserve"> 2010; </w:t>
      </w:r>
      <w:r w:rsidR="006B76B5" w:rsidRPr="006C46AB">
        <w:rPr>
          <w:rFonts w:asciiTheme="majorHAnsi" w:hAnsiTheme="majorHAnsi"/>
          <w:b/>
          <w:bCs/>
          <w:sz w:val="20"/>
        </w:rPr>
        <w:t>10</w:t>
      </w:r>
      <w:r w:rsidR="006B76B5" w:rsidRPr="006C46AB">
        <w:rPr>
          <w:rFonts w:asciiTheme="majorHAnsi" w:hAnsiTheme="majorHAnsi"/>
          <w:bCs/>
          <w:sz w:val="20"/>
        </w:rPr>
        <w:t>: 72.</w:t>
      </w:r>
    </w:p>
    <w:p w14:paraId="203D1FD2" w14:textId="77777777" w:rsidR="00561E2B" w:rsidRPr="006C46AB" w:rsidRDefault="00561E2B" w:rsidP="00D54F56">
      <w:pPr>
        <w:widowControl w:val="0"/>
        <w:spacing w:line="360" w:lineRule="auto"/>
        <w:rPr>
          <w:rFonts w:asciiTheme="majorHAnsi" w:hAnsiTheme="majorHAnsi"/>
          <w:sz w:val="16"/>
          <w:szCs w:val="20"/>
        </w:rPr>
      </w:pPr>
    </w:p>
    <w:p w14:paraId="65F09401" w14:textId="4D78974E" w:rsidR="00D54F56" w:rsidRPr="006C46AB" w:rsidRDefault="008D628B" w:rsidP="00D54F56">
      <w:pPr>
        <w:widowControl w:val="0"/>
        <w:spacing w:line="360" w:lineRule="auto"/>
        <w:rPr>
          <w:rFonts w:asciiTheme="majorHAnsi" w:hAnsiTheme="majorHAnsi"/>
          <w:sz w:val="20"/>
          <w:szCs w:val="20"/>
        </w:rPr>
      </w:pPr>
      <w:r w:rsidRPr="006C46AB">
        <w:rPr>
          <w:rFonts w:asciiTheme="majorHAnsi" w:hAnsiTheme="majorHAnsi"/>
          <w:sz w:val="20"/>
          <w:szCs w:val="20"/>
        </w:rPr>
        <w:t xml:space="preserve">40 </w:t>
      </w:r>
      <w:proofErr w:type="spellStart"/>
      <w:r w:rsidR="00D54F56" w:rsidRPr="006C46AB">
        <w:rPr>
          <w:rFonts w:asciiTheme="majorHAnsi" w:hAnsiTheme="majorHAnsi"/>
          <w:sz w:val="20"/>
          <w:szCs w:val="20"/>
        </w:rPr>
        <w:t>Sandström</w:t>
      </w:r>
      <w:proofErr w:type="spellEnd"/>
      <w:r w:rsidR="00D54F56" w:rsidRPr="006C46AB">
        <w:rPr>
          <w:rFonts w:asciiTheme="majorHAnsi" w:hAnsiTheme="majorHAnsi"/>
          <w:sz w:val="20"/>
          <w:szCs w:val="20"/>
        </w:rPr>
        <w:t xml:space="preserve"> B, </w:t>
      </w:r>
      <w:proofErr w:type="spellStart"/>
      <w:r w:rsidR="00D54F56" w:rsidRPr="006C46AB">
        <w:rPr>
          <w:rFonts w:asciiTheme="majorHAnsi" w:hAnsiTheme="majorHAnsi"/>
          <w:sz w:val="20"/>
          <w:szCs w:val="20"/>
        </w:rPr>
        <w:t>Abrahamsson</w:t>
      </w:r>
      <w:proofErr w:type="spellEnd"/>
      <w:r w:rsidR="00D54F56" w:rsidRPr="006C46AB">
        <w:rPr>
          <w:rFonts w:asciiTheme="majorHAnsi" w:hAnsiTheme="majorHAnsi"/>
          <w:sz w:val="20"/>
          <w:szCs w:val="20"/>
        </w:rPr>
        <w:t xml:space="preserve"> H. Zinc absorption and </w:t>
      </w:r>
      <w:proofErr w:type="spellStart"/>
      <w:r w:rsidR="00D54F56" w:rsidRPr="006C46AB">
        <w:rPr>
          <w:rFonts w:asciiTheme="majorHAnsi" w:hAnsiTheme="majorHAnsi"/>
          <w:sz w:val="20"/>
          <w:szCs w:val="20"/>
        </w:rPr>
        <w:t>achlorhydria</w:t>
      </w:r>
      <w:proofErr w:type="spellEnd"/>
      <w:r w:rsidR="00D54F56" w:rsidRPr="006C46AB">
        <w:rPr>
          <w:rFonts w:asciiTheme="majorHAnsi" w:hAnsiTheme="majorHAnsi"/>
          <w:sz w:val="20"/>
          <w:szCs w:val="20"/>
        </w:rPr>
        <w:t xml:space="preserve">. </w:t>
      </w:r>
      <w:proofErr w:type="spellStart"/>
      <w:r w:rsidR="00D54F56" w:rsidRPr="006C46AB">
        <w:rPr>
          <w:rFonts w:asciiTheme="majorHAnsi" w:hAnsiTheme="majorHAnsi"/>
          <w:sz w:val="20"/>
          <w:szCs w:val="20"/>
        </w:rPr>
        <w:t>Eur</w:t>
      </w:r>
      <w:proofErr w:type="spellEnd"/>
      <w:r w:rsidR="00D54F56" w:rsidRPr="006C46AB">
        <w:rPr>
          <w:rFonts w:asciiTheme="majorHAnsi" w:hAnsiTheme="majorHAnsi"/>
          <w:sz w:val="20"/>
          <w:szCs w:val="20"/>
        </w:rPr>
        <w:t xml:space="preserve"> J </w:t>
      </w:r>
      <w:proofErr w:type="spellStart"/>
      <w:r w:rsidR="00D54F56" w:rsidRPr="006C46AB">
        <w:rPr>
          <w:rFonts w:asciiTheme="majorHAnsi" w:hAnsiTheme="majorHAnsi"/>
          <w:sz w:val="20"/>
          <w:szCs w:val="20"/>
        </w:rPr>
        <w:t>Clin</w:t>
      </w:r>
      <w:proofErr w:type="spellEnd"/>
      <w:r w:rsidR="00D54F56" w:rsidRPr="006C46AB">
        <w:rPr>
          <w:rFonts w:asciiTheme="majorHAnsi" w:hAnsiTheme="majorHAnsi"/>
          <w:sz w:val="20"/>
          <w:szCs w:val="20"/>
        </w:rPr>
        <w:t xml:space="preserve"> </w:t>
      </w:r>
      <w:proofErr w:type="spellStart"/>
      <w:r w:rsidR="00D54F56" w:rsidRPr="006C46AB">
        <w:rPr>
          <w:rFonts w:asciiTheme="majorHAnsi" w:hAnsiTheme="majorHAnsi"/>
          <w:sz w:val="20"/>
          <w:szCs w:val="20"/>
        </w:rPr>
        <w:t>Nutr</w:t>
      </w:r>
      <w:proofErr w:type="spellEnd"/>
      <w:r w:rsidR="00D54F56" w:rsidRPr="006C46AB">
        <w:rPr>
          <w:rFonts w:asciiTheme="majorHAnsi" w:hAnsiTheme="majorHAnsi"/>
          <w:sz w:val="20"/>
          <w:szCs w:val="20"/>
        </w:rPr>
        <w:t>. 1989; 43: 877-9.</w:t>
      </w:r>
    </w:p>
    <w:p w14:paraId="52E43367" w14:textId="77777777" w:rsidR="00D54F56" w:rsidRPr="006C46AB" w:rsidRDefault="00D54F56" w:rsidP="000168D4">
      <w:pPr>
        <w:widowControl w:val="0"/>
        <w:spacing w:line="360" w:lineRule="auto"/>
        <w:rPr>
          <w:rFonts w:asciiTheme="majorHAnsi" w:hAnsiTheme="majorHAnsi"/>
          <w:sz w:val="20"/>
          <w:szCs w:val="20"/>
        </w:rPr>
      </w:pPr>
    </w:p>
    <w:p w14:paraId="6B3EECC2" w14:textId="1AEE292B" w:rsidR="00C10418" w:rsidRPr="006C46AB" w:rsidRDefault="008D628B" w:rsidP="000168D4">
      <w:pPr>
        <w:widowControl w:val="0"/>
        <w:spacing w:line="360" w:lineRule="auto"/>
        <w:rPr>
          <w:rFonts w:asciiTheme="majorHAnsi" w:hAnsiTheme="majorHAnsi"/>
          <w:sz w:val="20"/>
          <w:szCs w:val="20"/>
        </w:rPr>
      </w:pPr>
      <w:r w:rsidRPr="006C46AB">
        <w:rPr>
          <w:rFonts w:asciiTheme="majorHAnsi" w:hAnsiTheme="majorHAnsi"/>
          <w:sz w:val="20"/>
          <w:szCs w:val="20"/>
        </w:rPr>
        <w:t>41</w:t>
      </w:r>
      <w:r w:rsidR="00C10418" w:rsidRPr="006C46AB">
        <w:rPr>
          <w:rFonts w:asciiTheme="majorHAnsi" w:hAnsiTheme="majorHAnsi"/>
          <w:sz w:val="20"/>
          <w:szCs w:val="20"/>
        </w:rPr>
        <w:t xml:space="preserve"> Janssen P, </w:t>
      </w:r>
      <w:proofErr w:type="spellStart"/>
      <w:r w:rsidR="00C10418" w:rsidRPr="006C46AB">
        <w:rPr>
          <w:rFonts w:asciiTheme="majorHAnsi" w:hAnsiTheme="majorHAnsi"/>
          <w:sz w:val="20"/>
          <w:szCs w:val="20"/>
        </w:rPr>
        <w:t>Rotondo</w:t>
      </w:r>
      <w:proofErr w:type="spellEnd"/>
      <w:r w:rsidR="00C10418" w:rsidRPr="006C46AB">
        <w:rPr>
          <w:rFonts w:asciiTheme="majorHAnsi" w:hAnsiTheme="majorHAnsi"/>
          <w:sz w:val="20"/>
          <w:szCs w:val="20"/>
        </w:rPr>
        <w:t xml:space="preserve"> A, Mule F, Tack J. </w:t>
      </w:r>
      <w:r w:rsidR="00C10418" w:rsidRPr="006C46AB">
        <w:rPr>
          <w:rFonts w:asciiTheme="majorHAnsi" w:hAnsiTheme="majorHAnsi" w:cs="Times New Roman"/>
          <w:sz w:val="20"/>
          <w:szCs w:val="20"/>
          <w:lang w:val="en-US"/>
        </w:rPr>
        <w:t xml:space="preserve">Review article: a comparison of glucagon-like peptides 1 and 2. Aliment </w:t>
      </w:r>
      <w:proofErr w:type="spellStart"/>
      <w:r w:rsidR="00C10418" w:rsidRPr="006C46AB">
        <w:rPr>
          <w:rFonts w:asciiTheme="majorHAnsi" w:hAnsiTheme="majorHAnsi" w:cs="Times New Roman"/>
          <w:sz w:val="20"/>
          <w:szCs w:val="20"/>
          <w:lang w:val="en-US"/>
        </w:rPr>
        <w:t>Pharmacol</w:t>
      </w:r>
      <w:proofErr w:type="spellEnd"/>
      <w:r w:rsidR="00C10418" w:rsidRPr="006C46AB">
        <w:rPr>
          <w:rFonts w:asciiTheme="majorHAnsi" w:hAnsiTheme="majorHAnsi" w:cs="Times New Roman"/>
          <w:sz w:val="20"/>
          <w:szCs w:val="20"/>
          <w:lang w:val="en-US"/>
        </w:rPr>
        <w:t xml:space="preserve"> </w:t>
      </w:r>
      <w:proofErr w:type="spellStart"/>
      <w:r w:rsidR="00C10418" w:rsidRPr="006C46AB">
        <w:rPr>
          <w:rFonts w:asciiTheme="majorHAnsi" w:hAnsiTheme="majorHAnsi" w:cs="Times New Roman"/>
          <w:sz w:val="20"/>
          <w:szCs w:val="20"/>
          <w:lang w:val="en-US"/>
        </w:rPr>
        <w:t>Ther</w:t>
      </w:r>
      <w:proofErr w:type="spellEnd"/>
      <w:r w:rsidR="00C10418" w:rsidRPr="006C46AB">
        <w:rPr>
          <w:rFonts w:asciiTheme="majorHAnsi" w:hAnsiTheme="majorHAnsi" w:cs="Times New Roman"/>
          <w:sz w:val="20"/>
          <w:szCs w:val="20"/>
          <w:lang w:val="en-US"/>
        </w:rPr>
        <w:t xml:space="preserve"> 2013; 37: 18–36.</w:t>
      </w:r>
    </w:p>
    <w:p w14:paraId="74180275" w14:textId="77777777" w:rsidR="00C10418" w:rsidRPr="006C46AB" w:rsidRDefault="00C10418" w:rsidP="000168D4">
      <w:pPr>
        <w:widowControl w:val="0"/>
        <w:spacing w:line="360" w:lineRule="auto"/>
        <w:rPr>
          <w:rFonts w:asciiTheme="majorHAnsi" w:hAnsiTheme="majorHAnsi"/>
          <w:sz w:val="20"/>
          <w:szCs w:val="20"/>
        </w:rPr>
      </w:pPr>
    </w:p>
    <w:p w14:paraId="2B6ECEAD" w14:textId="7D6F348E" w:rsidR="00702729" w:rsidRPr="006C46AB" w:rsidRDefault="008D628B" w:rsidP="000168D4">
      <w:pPr>
        <w:widowControl w:val="0"/>
        <w:spacing w:line="360" w:lineRule="auto"/>
        <w:rPr>
          <w:rFonts w:ascii="Times New Roman" w:hAnsi="Times New Roman" w:cs="Times New Roman"/>
          <w:color w:val="0000FF"/>
          <w:sz w:val="13"/>
          <w:szCs w:val="13"/>
          <w:lang w:val="en-US"/>
        </w:rPr>
      </w:pPr>
      <w:r w:rsidRPr="006C46AB">
        <w:rPr>
          <w:rFonts w:asciiTheme="majorHAnsi" w:hAnsiTheme="majorHAnsi"/>
          <w:sz w:val="20"/>
          <w:szCs w:val="20"/>
        </w:rPr>
        <w:t>42</w:t>
      </w:r>
      <w:r w:rsidR="00C10418" w:rsidRPr="006C46AB">
        <w:rPr>
          <w:rFonts w:asciiTheme="majorHAnsi" w:hAnsiTheme="majorHAnsi"/>
          <w:sz w:val="20"/>
          <w:szCs w:val="20"/>
        </w:rPr>
        <w:t xml:space="preserve"> </w:t>
      </w:r>
      <w:proofErr w:type="spellStart"/>
      <w:r w:rsidR="00C10418" w:rsidRPr="006C46AB">
        <w:rPr>
          <w:rFonts w:asciiTheme="majorHAnsi" w:hAnsiTheme="majorHAnsi"/>
          <w:sz w:val="20"/>
          <w:szCs w:val="20"/>
        </w:rPr>
        <w:t>Baldassano</w:t>
      </w:r>
      <w:proofErr w:type="spellEnd"/>
      <w:r w:rsidR="00C10418" w:rsidRPr="006C46AB">
        <w:rPr>
          <w:rFonts w:asciiTheme="majorHAnsi" w:hAnsiTheme="majorHAnsi"/>
          <w:sz w:val="20"/>
          <w:szCs w:val="20"/>
        </w:rPr>
        <w:t xml:space="preserve"> S, Amato A. GLP-2: What do we know? What are we going to discover? Regulatory Peptides 2014; 194-5; 6-10. </w:t>
      </w:r>
    </w:p>
    <w:p w14:paraId="71FA03DD" w14:textId="77777777" w:rsidR="00C10418" w:rsidRPr="006C46AB" w:rsidRDefault="00C10418" w:rsidP="000168D4">
      <w:pPr>
        <w:widowControl w:val="0"/>
        <w:spacing w:line="360" w:lineRule="auto"/>
        <w:rPr>
          <w:rFonts w:ascii="Times New Roman" w:hAnsi="Times New Roman" w:cs="Times New Roman"/>
          <w:color w:val="0000FF"/>
          <w:sz w:val="13"/>
          <w:szCs w:val="13"/>
          <w:lang w:val="en-US"/>
        </w:rPr>
      </w:pPr>
    </w:p>
    <w:p w14:paraId="1F733018" w14:textId="6F7DAEE2" w:rsidR="00C10418" w:rsidRPr="006C46AB" w:rsidRDefault="008D628B" w:rsidP="000168D4">
      <w:pPr>
        <w:widowControl w:val="0"/>
        <w:spacing w:line="360" w:lineRule="auto"/>
        <w:rPr>
          <w:rFonts w:asciiTheme="majorHAnsi" w:hAnsiTheme="majorHAnsi"/>
          <w:sz w:val="20"/>
          <w:szCs w:val="20"/>
        </w:rPr>
      </w:pPr>
      <w:r w:rsidRPr="006C46AB">
        <w:rPr>
          <w:rFonts w:asciiTheme="majorHAnsi" w:hAnsiTheme="majorHAnsi"/>
          <w:sz w:val="20"/>
          <w:szCs w:val="20"/>
        </w:rPr>
        <w:t>43</w:t>
      </w:r>
      <w:r w:rsidR="00247285" w:rsidRPr="006C46AB">
        <w:rPr>
          <w:rFonts w:asciiTheme="majorHAnsi" w:hAnsiTheme="majorHAnsi"/>
          <w:sz w:val="20"/>
          <w:szCs w:val="20"/>
        </w:rPr>
        <w:t xml:space="preserve"> </w:t>
      </w:r>
      <w:proofErr w:type="spellStart"/>
      <w:r w:rsidR="00247285" w:rsidRPr="006C46AB">
        <w:rPr>
          <w:rFonts w:asciiTheme="majorHAnsi" w:hAnsiTheme="majorHAnsi"/>
          <w:sz w:val="20"/>
          <w:szCs w:val="20"/>
        </w:rPr>
        <w:t>Jeppesen</w:t>
      </w:r>
      <w:proofErr w:type="spellEnd"/>
      <w:r w:rsidR="00247285" w:rsidRPr="006C46AB">
        <w:rPr>
          <w:rFonts w:asciiTheme="majorHAnsi" w:hAnsiTheme="majorHAnsi"/>
          <w:sz w:val="20"/>
          <w:szCs w:val="20"/>
        </w:rPr>
        <w:t xml:space="preserve"> PB, </w:t>
      </w:r>
      <w:proofErr w:type="spellStart"/>
      <w:r w:rsidR="00492B51" w:rsidRPr="006C46AB">
        <w:rPr>
          <w:rFonts w:asciiTheme="majorHAnsi" w:hAnsiTheme="majorHAnsi"/>
          <w:sz w:val="20"/>
          <w:szCs w:val="20"/>
        </w:rPr>
        <w:t>Pertkiewicz</w:t>
      </w:r>
      <w:proofErr w:type="spellEnd"/>
      <w:r w:rsidR="00492B51" w:rsidRPr="006C46AB">
        <w:rPr>
          <w:rFonts w:asciiTheme="majorHAnsi" w:hAnsiTheme="majorHAnsi"/>
          <w:sz w:val="20"/>
          <w:szCs w:val="20"/>
        </w:rPr>
        <w:t xml:space="preserve"> M, Messing B, </w:t>
      </w:r>
      <w:r w:rsidR="00A0494D" w:rsidRPr="006C46AB">
        <w:rPr>
          <w:rFonts w:asciiTheme="majorHAnsi" w:hAnsiTheme="majorHAnsi"/>
          <w:sz w:val="20"/>
          <w:szCs w:val="20"/>
        </w:rPr>
        <w:t>et al</w:t>
      </w:r>
      <w:r w:rsidR="00492B51" w:rsidRPr="006C46AB">
        <w:rPr>
          <w:rFonts w:asciiTheme="majorHAnsi" w:hAnsiTheme="majorHAnsi"/>
          <w:sz w:val="20"/>
          <w:szCs w:val="20"/>
        </w:rPr>
        <w:t xml:space="preserve">. </w:t>
      </w:r>
      <w:proofErr w:type="spellStart"/>
      <w:r w:rsidR="00492B51" w:rsidRPr="006C46AB">
        <w:rPr>
          <w:rFonts w:asciiTheme="majorHAnsi" w:hAnsiTheme="majorHAnsi"/>
          <w:sz w:val="20"/>
          <w:szCs w:val="20"/>
        </w:rPr>
        <w:t>Teduglutide</w:t>
      </w:r>
      <w:proofErr w:type="spellEnd"/>
      <w:r w:rsidR="00492B51" w:rsidRPr="006C46AB">
        <w:rPr>
          <w:rFonts w:asciiTheme="majorHAnsi" w:hAnsiTheme="majorHAnsi"/>
          <w:sz w:val="20"/>
          <w:szCs w:val="20"/>
        </w:rPr>
        <w:t xml:space="preserve"> reduced need for parenteral support among patients with short bowel syndrome with intestinal failure. Gastroenterology 2012; 143: 1473-1481.</w:t>
      </w:r>
    </w:p>
    <w:p w14:paraId="2875F1AD" w14:textId="77777777" w:rsidR="00247285" w:rsidRPr="006C46AB" w:rsidRDefault="00247285" w:rsidP="006877D9">
      <w:pPr>
        <w:widowControl w:val="0"/>
        <w:spacing w:line="360" w:lineRule="auto"/>
        <w:rPr>
          <w:rFonts w:asciiTheme="majorHAnsi" w:hAnsiTheme="majorHAnsi"/>
          <w:sz w:val="20"/>
          <w:szCs w:val="20"/>
        </w:rPr>
      </w:pPr>
    </w:p>
    <w:p w14:paraId="7681F929" w14:textId="1619DBF2" w:rsidR="00247285" w:rsidRPr="006C46AB" w:rsidRDefault="008D628B" w:rsidP="006877D9">
      <w:pPr>
        <w:widowControl w:val="0"/>
        <w:spacing w:line="360" w:lineRule="auto"/>
        <w:rPr>
          <w:rFonts w:asciiTheme="majorHAnsi" w:hAnsiTheme="majorHAnsi"/>
          <w:sz w:val="20"/>
          <w:szCs w:val="20"/>
        </w:rPr>
      </w:pPr>
      <w:r w:rsidRPr="006C46AB">
        <w:rPr>
          <w:rFonts w:asciiTheme="majorHAnsi" w:hAnsiTheme="majorHAnsi"/>
          <w:sz w:val="20"/>
          <w:szCs w:val="20"/>
        </w:rPr>
        <w:t>44</w:t>
      </w:r>
      <w:r w:rsidR="00247285" w:rsidRPr="006C46AB">
        <w:rPr>
          <w:rFonts w:asciiTheme="majorHAnsi" w:hAnsiTheme="majorHAnsi"/>
          <w:sz w:val="20"/>
          <w:szCs w:val="20"/>
        </w:rPr>
        <w:t xml:space="preserve"> </w:t>
      </w:r>
      <w:proofErr w:type="spellStart"/>
      <w:r w:rsidR="00247285" w:rsidRPr="006C46AB">
        <w:rPr>
          <w:rFonts w:asciiTheme="majorHAnsi" w:hAnsiTheme="majorHAnsi"/>
          <w:sz w:val="20"/>
          <w:szCs w:val="20"/>
        </w:rPr>
        <w:t>Wojcik</w:t>
      </w:r>
      <w:proofErr w:type="spellEnd"/>
      <w:r w:rsidR="006877D9" w:rsidRPr="006C46AB">
        <w:rPr>
          <w:rFonts w:asciiTheme="majorHAnsi" w:hAnsiTheme="majorHAnsi"/>
          <w:sz w:val="20"/>
          <w:szCs w:val="20"/>
        </w:rPr>
        <w:t xml:space="preserve"> MH,  </w:t>
      </w:r>
      <w:proofErr w:type="spellStart"/>
      <w:r w:rsidR="006877D9" w:rsidRPr="006C46AB">
        <w:rPr>
          <w:rFonts w:asciiTheme="majorHAnsi" w:hAnsiTheme="majorHAnsi"/>
          <w:sz w:val="20"/>
          <w:szCs w:val="20"/>
        </w:rPr>
        <w:t>Meenaghan</w:t>
      </w:r>
      <w:proofErr w:type="spellEnd"/>
      <w:r w:rsidR="006877D9" w:rsidRPr="006C46AB">
        <w:rPr>
          <w:rFonts w:asciiTheme="majorHAnsi" w:hAnsiTheme="majorHAnsi"/>
          <w:sz w:val="20"/>
          <w:szCs w:val="20"/>
        </w:rPr>
        <w:t xml:space="preserve"> E, Lawson EA, </w:t>
      </w:r>
      <w:proofErr w:type="spellStart"/>
      <w:r w:rsidR="006877D9" w:rsidRPr="006C46AB">
        <w:rPr>
          <w:rFonts w:asciiTheme="majorHAnsi" w:hAnsiTheme="majorHAnsi"/>
          <w:sz w:val="20"/>
          <w:szCs w:val="20"/>
        </w:rPr>
        <w:t>Misra</w:t>
      </w:r>
      <w:proofErr w:type="spellEnd"/>
      <w:r w:rsidR="006877D9" w:rsidRPr="006C46AB">
        <w:rPr>
          <w:rFonts w:asciiTheme="majorHAnsi" w:hAnsiTheme="majorHAnsi"/>
          <w:sz w:val="20"/>
          <w:szCs w:val="20"/>
        </w:rPr>
        <w:t xml:space="preserve"> M, </w:t>
      </w:r>
      <w:proofErr w:type="spellStart"/>
      <w:r w:rsidR="006877D9" w:rsidRPr="006C46AB">
        <w:rPr>
          <w:rFonts w:asciiTheme="majorHAnsi" w:hAnsiTheme="majorHAnsi"/>
          <w:sz w:val="20"/>
          <w:szCs w:val="20"/>
        </w:rPr>
        <w:t>Klibanski</w:t>
      </w:r>
      <w:proofErr w:type="spellEnd"/>
      <w:r w:rsidR="006877D9" w:rsidRPr="006C46AB">
        <w:rPr>
          <w:rFonts w:asciiTheme="majorHAnsi" w:hAnsiTheme="majorHAnsi"/>
          <w:sz w:val="20"/>
          <w:szCs w:val="20"/>
        </w:rPr>
        <w:t xml:space="preserve"> A, Miller KK. Reduced amylin levels are associated with low bone mineral density in women with anorexia nervosa. </w:t>
      </w:r>
      <w:r w:rsidR="006877D9" w:rsidRPr="006C46AB">
        <w:rPr>
          <w:rFonts w:asciiTheme="majorHAnsi" w:hAnsiTheme="majorHAnsi" w:cs="Times New Roman"/>
          <w:sz w:val="20"/>
          <w:szCs w:val="20"/>
          <w:lang w:val="en-US"/>
        </w:rPr>
        <w:t>Bone. 2010; 46: 796–800. doi:10.1016/j.bone.2009.11.014.</w:t>
      </w:r>
    </w:p>
    <w:p w14:paraId="73409B11" w14:textId="77777777" w:rsidR="00247285" w:rsidRPr="006C46AB" w:rsidRDefault="00247285" w:rsidP="006877D9">
      <w:pPr>
        <w:widowControl w:val="0"/>
        <w:spacing w:line="360" w:lineRule="auto"/>
        <w:rPr>
          <w:rFonts w:asciiTheme="majorHAnsi" w:hAnsiTheme="majorHAnsi"/>
          <w:sz w:val="20"/>
          <w:szCs w:val="20"/>
        </w:rPr>
      </w:pPr>
    </w:p>
    <w:p w14:paraId="6851B898" w14:textId="15C524ED" w:rsidR="00247285" w:rsidRPr="006C46AB" w:rsidRDefault="008D628B" w:rsidP="006877D9">
      <w:pPr>
        <w:widowControl w:val="0"/>
        <w:autoSpaceDE w:val="0"/>
        <w:autoSpaceDN w:val="0"/>
        <w:adjustRightInd w:val="0"/>
        <w:spacing w:line="360" w:lineRule="auto"/>
        <w:rPr>
          <w:rFonts w:asciiTheme="majorHAnsi" w:hAnsiTheme="majorHAnsi"/>
          <w:sz w:val="20"/>
          <w:szCs w:val="20"/>
        </w:rPr>
      </w:pPr>
      <w:r w:rsidRPr="006C46AB">
        <w:rPr>
          <w:rFonts w:asciiTheme="majorHAnsi" w:hAnsiTheme="majorHAnsi"/>
          <w:sz w:val="20"/>
          <w:szCs w:val="20"/>
        </w:rPr>
        <w:t>45</w:t>
      </w:r>
      <w:r w:rsidR="00691E64" w:rsidRPr="006C46AB">
        <w:rPr>
          <w:rFonts w:asciiTheme="majorHAnsi" w:hAnsiTheme="majorHAnsi"/>
          <w:sz w:val="20"/>
          <w:szCs w:val="20"/>
        </w:rPr>
        <w:t xml:space="preserve"> </w:t>
      </w:r>
      <w:proofErr w:type="spellStart"/>
      <w:r w:rsidR="00247285" w:rsidRPr="006C46AB">
        <w:rPr>
          <w:rFonts w:asciiTheme="majorHAnsi" w:hAnsiTheme="majorHAnsi"/>
          <w:sz w:val="20"/>
          <w:szCs w:val="20"/>
        </w:rPr>
        <w:t>Bremholm</w:t>
      </w:r>
      <w:proofErr w:type="spellEnd"/>
      <w:r w:rsidR="006877D9" w:rsidRPr="006C46AB">
        <w:rPr>
          <w:rFonts w:asciiTheme="majorHAnsi" w:hAnsiTheme="majorHAnsi"/>
          <w:sz w:val="20"/>
          <w:szCs w:val="20"/>
        </w:rPr>
        <w:t xml:space="preserve"> L, </w:t>
      </w:r>
      <w:proofErr w:type="spellStart"/>
      <w:r w:rsidR="006877D9" w:rsidRPr="006C46AB">
        <w:rPr>
          <w:rFonts w:asciiTheme="majorHAnsi" w:hAnsiTheme="majorHAnsi"/>
          <w:sz w:val="20"/>
          <w:szCs w:val="20"/>
        </w:rPr>
        <w:t>Hornum</w:t>
      </w:r>
      <w:proofErr w:type="spellEnd"/>
      <w:r w:rsidR="006877D9" w:rsidRPr="006C46AB">
        <w:rPr>
          <w:rFonts w:asciiTheme="majorHAnsi" w:hAnsiTheme="majorHAnsi"/>
          <w:sz w:val="20"/>
          <w:szCs w:val="20"/>
        </w:rPr>
        <w:t xml:space="preserve"> M, Andersen UB, </w:t>
      </w:r>
      <w:r w:rsidR="00283F54" w:rsidRPr="006C46AB">
        <w:rPr>
          <w:rFonts w:asciiTheme="majorHAnsi" w:hAnsiTheme="majorHAnsi"/>
          <w:sz w:val="20"/>
          <w:szCs w:val="20"/>
        </w:rPr>
        <w:t>et al</w:t>
      </w:r>
      <w:r w:rsidR="006877D9" w:rsidRPr="006C46AB">
        <w:rPr>
          <w:rFonts w:asciiTheme="majorHAnsi" w:hAnsiTheme="majorHAnsi"/>
          <w:sz w:val="20"/>
          <w:szCs w:val="20"/>
        </w:rPr>
        <w:t xml:space="preserve">. </w:t>
      </w:r>
      <w:r w:rsidR="006877D9" w:rsidRPr="006C46AB">
        <w:rPr>
          <w:rFonts w:asciiTheme="majorHAnsi" w:hAnsiTheme="majorHAnsi" w:cs="Times New Roman"/>
          <w:sz w:val="20"/>
          <w:szCs w:val="20"/>
          <w:lang w:val="en-US"/>
        </w:rPr>
        <w:t>The effect of Glucagon-Like Peptide-2 on mesenteric blood flow and cardiac parameters in end-</w:t>
      </w:r>
      <w:proofErr w:type="spellStart"/>
      <w:r w:rsidR="006877D9" w:rsidRPr="006C46AB">
        <w:rPr>
          <w:rFonts w:asciiTheme="majorHAnsi" w:hAnsiTheme="majorHAnsi" w:cs="Times New Roman"/>
          <w:sz w:val="20"/>
          <w:szCs w:val="20"/>
          <w:lang w:val="en-US"/>
        </w:rPr>
        <w:t>jejunostomy</w:t>
      </w:r>
      <w:proofErr w:type="spellEnd"/>
      <w:r w:rsidR="006877D9" w:rsidRPr="006C46AB">
        <w:rPr>
          <w:rFonts w:asciiTheme="majorHAnsi" w:hAnsiTheme="majorHAnsi" w:cs="Times New Roman"/>
          <w:sz w:val="20"/>
          <w:szCs w:val="20"/>
          <w:lang w:val="en-US"/>
        </w:rPr>
        <w:t xml:space="preserve"> short bowel patients. Regulatory Peptides 2011; 168: 32-38.</w:t>
      </w:r>
    </w:p>
    <w:p w14:paraId="5C7F42C5" w14:textId="77777777" w:rsidR="00247285" w:rsidRPr="006C46AB" w:rsidRDefault="00247285" w:rsidP="006877D9">
      <w:pPr>
        <w:widowControl w:val="0"/>
        <w:spacing w:line="360" w:lineRule="auto"/>
        <w:rPr>
          <w:rFonts w:asciiTheme="majorHAnsi" w:hAnsiTheme="majorHAnsi"/>
          <w:sz w:val="20"/>
          <w:szCs w:val="20"/>
        </w:rPr>
      </w:pPr>
    </w:p>
    <w:p w14:paraId="3D2E31AC" w14:textId="257E3D6F" w:rsidR="00247285" w:rsidRPr="006C46AB" w:rsidRDefault="008D628B" w:rsidP="006877D9">
      <w:pPr>
        <w:widowControl w:val="0"/>
        <w:autoSpaceDE w:val="0"/>
        <w:autoSpaceDN w:val="0"/>
        <w:adjustRightInd w:val="0"/>
        <w:spacing w:line="360" w:lineRule="auto"/>
        <w:rPr>
          <w:rFonts w:asciiTheme="majorHAnsi" w:hAnsiTheme="majorHAnsi"/>
          <w:sz w:val="20"/>
          <w:szCs w:val="20"/>
        </w:rPr>
      </w:pPr>
      <w:r w:rsidRPr="006C46AB">
        <w:rPr>
          <w:rFonts w:asciiTheme="majorHAnsi" w:hAnsiTheme="majorHAnsi"/>
          <w:sz w:val="20"/>
          <w:szCs w:val="20"/>
        </w:rPr>
        <w:t>46</w:t>
      </w:r>
      <w:r w:rsidR="00247285" w:rsidRPr="006C46AB">
        <w:rPr>
          <w:rFonts w:asciiTheme="majorHAnsi" w:hAnsiTheme="majorHAnsi"/>
          <w:sz w:val="20"/>
          <w:szCs w:val="20"/>
        </w:rPr>
        <w:t xml:space="preserve"> Xiao</w:t>
      </w:r>
      <w:r w:rsidR="00361752" w:rsidRPr="006C46AB">
        <w:rPr>
          <w:rFonts w:asciiTheme="majorHAnsi" w:hAnsiTheme="majorHAnsi"/>
          <w:sz w:val="20"/>
          <w:szCs w:val="20"/>
        </w:rPr>
        <w:t xml:space="preserve"> Q, </w:t>
      </w:r>
      <w:proofErr w:type="spellStart"/>
      <w:r w:rsidR="00361752" w:rsidRPr="006C46AB">
        <w:rPr>
          <w:rFonts w:asciiTheme="majorHAnsi" w:hAnsiTheme="majorHAnsi"/>
          <w:sz w:val="20"/>
          <w:szCs w:val="20"/>
        </w:rPr>
        <w:t>Boushey</w:t>
      </w:r>
      <w:proofErr w:type="spellEnd"/>
      <w:r w:rsidR="00361752" w:rsidRPr="006C46AB">
        <w:rPr>
          <w:rFonts w:asciiTheme="majorHAnsi" w:hAnsiTheme="majorHAnsi"/>
          <w:sz w:val="20"/>
          <w:szCs w:val="20"/>
        </w:rPr>
        <w:t xml:space="preserve"> RP, </w:t>
      </w:r>
      <w:proofErr w:type="spellStart"/>
      <w:r w:rsidR="00361752" w:rsidRPr="006C46AB">
        <w:rPr>
          <w:rFonts w:asciiTheme="majorHAnsi" w:hAnsiTheme="majorHAnsi"/>
          <w:sz w:val="20"/>
          <w:szCs w:val="20"/>
        </w:rPr>
        <w:t>Cino</w:t>
      </w:r>
      <w:proofErr w:type="spellEnd"/>
      <w:r w:rsidR="00361752" w:rsidRPr="006C46AB">
        <w:rPr>
          <w:rFonts w:asciiTheme="majorHAnsi" w:hAnsiTheme="majorHAnsi"/>
          <w:sz w:val="20"/>
          <w:szCs w:val="20"/>
        </w:rPr>
        <w:t xml:space="preserve"> M, </w:t>
      </w:r>
      <w:r w:rsidR="00283F54" w:rsidRPr="006C46AB">
        <w:rPr>
          <w:rFonts w:asciiTheme="majorHAnsi" w:hAnsiTheme="majorHAnsi"/>
          <w:sz w:val="20"/>
          <w:szCs w:val="20"/>
        </w:rPr>
        <w:t>et al</w:t>
      </w:r>
      <w:r w:rsidR="00361752" w:rsidRPr="006C46AB">
        <w:rPr>
          <w:rFonts w:asciiTheme="majorHAnsi" w:hAnsiTheme="majorHAnsi"/>
          <w:sz w:val="20"/>
          <w:szCs w:val="20"/>
        </w:rPr>
        <w:t xml:space="preserve">. </w:t>
      </w:r>
      <w:r w:rsidR="00361752" w:rsidRPr="006C46AB">
        <w:rPr>
          <w:rFonts w:asciiTheme="majorHAnsi" w:hAnsiTheme="majorHAnsi" w:cs="Times New Roman"/>
          <w:sz w:val="20"/>
          <w:szCs w:val="20"/>
          <w:lang w:val="en-US"/>
        </w:rPr>
        <w:t xml:space="preserve">Circulating levels of glucagon-like peptide-2 in human subjects with inflammatory bowel disease. Am J </w:t>
      </w:r>
      <w:proofErr w:type="spellStart"/>
      <w:r w:rsidR="00361752" w:rsidRPr="006C46AB">
        <w:rPr>
          <w:rFonts w:asciiTheme="majorHAnsi" w:hAnsiTheme="majorHAnsi" w:cs="Times New Roman"/>
          <w:sz w:val="20"/>
          <w:szCs w:val="20"/>
          <w:lang w:val="en-US"/>
        </w:rPr>
        <w:t>Physiol</w:t>
      </w:r>
      <w:proofErr w:type="spellEnd"/>
      <w:r w:rsidR="00361752" w:rsidRPr="006C46AB">
        <w:rPr>
          <w:rFonts w:asciiTheme="majorHAnsi" w:hAnsiTheme="majorHAnsi" w:cs="Times New Roman"/>
          <w:sz w:val="20"/>
          <w:szCs w:val="20"/>
          <w:lang w:val="en-US"/>
        </w:rPr>
        <w:t xml:space="preserve"> Regulatory Integrative Comp </w:t>
      </w:r>
      <w:proofErr w:type="spellStart"/>
      <w:r w:rsidR="00361752" w:rsidRPr="006C46AB">
        <w:rPr>
          <w:rFonts w:asciiTheme="majorHAnsi" w:hAnsiTheme="majorHAnsi" w:cs="Times New Roman"/>
          <w:sz w:val="20"/>
          <w:szCs w:val="20"/>
          <w:lang w:val="en-US"/>
        </w:rPr>
        <w:t>Phys</w:t>
      </w:r>
      <w:r w:rsidR="006877D9" w:rsidRPr="006C46AB">
        <w:rPr>
          <w:rFonts w:asciiTheme="majorHAnsi" w:hAnsiTheme="majorHAnsi" w:cs="Times New Roman"/>
          <w:sz w:val="20"/>
          <w:szCs w:val="20"/>
          <w:lang w:val="en-US"/>
        </w:rPr>
        <w:t>iol</w:t>
      </w:r>
      <w:proofErr w:type="spellEnd"/>
      <w:r w:rsidR="006877D9" w:rsidRPr="006C46AB">
        <w:rPr>
          <w:rFonts w:asciiTheme="majorHAnsi" w:hAnsiTheme="majorHAnsi" w:cs="Times New Roman"/>
          <w:sz w:val="20"/>
          <w:szCs w:val="20"/>
          <w:lang w:val="en-US"/>
        </w:rPr>
        <w:t xml:space="preserve"> 2000; 278: R1057–R1063.</w:t>
      </w:r>
    </w:p>
    <w:p w14:paraId="303479FD" w14:textId="77777777" w:rsidR="00247285" w:rsidRPr="006C46AB" w:rsidRDefault="00247285" w:rsidP="006877D9">
      <w:pPr>
        <w:widowControl w:val="0"/>
        <w:spacing w:line="360" w:lineRule="auto"/>
        <w:rPr>
          <w:rFonts w:asciiTheme="majorHAnsi" w:hAnsiTheme="majorHAnsi"/>
          <w:sz w:val="20"/>
          <w:szCs w:val="20"/>
        </w:rPr>
      </w:pPr>
    </w:p>
    <w:p w14:paraId="77485551" w14:textId="7A89173D" w:rsidR="006877D9" w:rsidRPr="006C46AB" w:rsidRDefault="008D628B" w:rsidP="006877D9">
      <w:pPr>
        <w:widowControl w:val="0"/>
        <w:spacing w:line="360" w:lineRule="auto"/>
        <w:rPr>
          <w:rFonts w:asciiTheme="majorHAnsi" w:hAnsiTheme="majorHAnsi"/>
          <w:sz w:val="20"/>
          <w:szCs w:val="20"/>
        </w:rPr>
      </w:pPr>
      <w:r w:rsidRPr="006C46AB">
        <w:rPr>
          <w:rFonts w:asciiTheme="majorHAnsi" w:hAnsiTheme="majorHAnsi"/>
          <w:sz w:val="20"/>
          <w:szCs w:val="20"/>
        </w:rPr>
        <w:t>47</w:t>
      </w:r>
      <w:r w:rsidR="00247285" w:rsidRPr="006C46AB">
        <w:rPr>
          <w:rFonts w:asciiTheme="majorHAnsi" w:hAnsiTheme="majorHAnsi"/>
          <w:sz w:val="20"/>
          <w:szCs w:val="20"/>
        </w:rPr>
        <w:t xml:space="preserve"> </w:t>
      </w:r>
      <w:proofErr w:type="spellStart"/>
      <w:r w:rsidR="00247285" w:rsidRPr="006C46AB">
        <w:rPr>
          <w:rFonts w:asciiTheme="majorHAnsi" w:hAnsiTheme="majorHAnsi"/>
          <w:sz w:val="20"/>
          <w:szCs w:val="20"/>
        </w:rPr>
        <w:t>Trautvetter</w:t>
      </w:r>
      <w:proofErr w:type="spellEnd"/>
      <w:r w:rsidR="006877D9" w:rsidRPr="006C46AB">
        <w:rPr>
          <w:rFonts w:asciiTheme="majorHAnsi" w:hAnsiTheme="majorHAnsi"/>
          <w:sz w:val="20"/>
          <w:szCs w:val="20"/>
        </w:rPr>
        <w:t xml:space="preserve"> U, </w:t>
      </w:r>
      <w:proofErr w:type="spellStart"/>
      <w:r w:rsidR="006877D9" w:rsidRPr="006C46AB">
        <w:rPr>
          <w:rFonts w:asciiTheme="majorHAnsi" w:hAnsiTheme="majorHAnsi"/>
          <w:sz w:val="20"/>
          <w:szCs w:val="20"/>
        </w:rPr>
        <w:t>Jahreis</w:t>
      </w:r>
      <w:proofErr w:type="spellEnd"/>
      <w:r w:rsidR="006877D9" w:rsidRPr="006C46AB">
        <w:rPr>
          <w:rFonts w:asciiTheme="majorHAnsi" w:hAnsiTheme="majorHAnsi"/>
          <w:sz w:val="20"/>
          <w:szCs w:val="20"/>
        </w:rPr>
        <w:t xml:space="preserve"> G. Effect of supplementary calcium phosphate on plasma gastrointestinal</w:t>
      </w:r>
    </w:p>
    <w:p w14:paraId="601D9190" w14:textId="76F08A4B" w:rsidR="00247285" w:rsidRPr="006C46AB" w:rsidRDefault="006877D9" w:rsidP="006877D9">
      <w:pPr>
        <w:widowControl w:val="0"/>
        <w:spacing w:line="360" w:lineRule="auto"/>
        <w:rPr>
          <w:rFonts w:asciiTheme="majorHAnsi" w:hAnsiTheme="majorHAnsi"/>
          <w:sz w:val="20"/>
          <w:szCs w:val="20"/>
        </w:rPr>
      </w:pPr>
      <w:r w:rsidRPr="006C46AB">
        <w:rPr>
          <w:rFonts w:asciiTheme="majorHAnsi" w:hAnsiTheme="majorHAnsi"/>
          <w:sz w:val="20"/>
          <w:szCs w:val="20"/>
        </w:rPr>
        <w:t xml:space="preserve">hormones in a double-blind, placebo-controlled, cross-over human study. Br J </w:t>
      </w:r>
      <w:proofErr w:type="spellStart"/>
      <w:r w:rsidRPr="006C46AB">
        <w:rPr>
          <w:rFonts w:asciiTheme="majorHAnsi" w:hAnsiTheme="majorHAnsi"/>
          <w:sz w:val="20"/>
          <w:szCs w:val="20"/>
        </w:rPr>
        <w:t>Nutr</w:t>
      </w:r>
      <w:proofErr w:type="spellEnd"/>
      <w:r w:rsidRPr="006C46AB">
        <w:rPr>
          <w:rFonts w:asciiTheme="majorHAnsi" w:hAnsiTheme="majorHAnsi"/>
          <w:sz w:val="20"/>
          <w:szCs w:val="20"/>
        </w:rPr>
        <w:t xml:space="preserve"> </w:t>
      </w:r>
      <w:r w:rsidRPr="006C46AB">
        <w:rPr>
          <w:rFonts w:asciiTheme="majorHAnsi" w:hAnsiTheme="majorHAnsi" w:cs="Times New Roman"/>
          <w:sz w:val="20"/>
          <w:szCs w:val="20"/>
          <w:lang w:val="en-US"/>
        </w:rPr>
        <w:t>2014; 111: 287–293.</w:t>
      </w:r>
    </w:p>
    <w:p w14:paraId="6966287D" w14:textId="77777777" w:rsidR="00247285" w:rsidRPr="006C46AB" w:rsidRDefault="00247285" w:rsidP="006877D9">
      <w:pPr>
        <w:widowControl w:val="0"/>
        <w:spacing w:line="360" w:lineRule="auto"/>
        <w:rPr>
          <w:rFonts w:asciiTheme="majorHAnsi" w:hAnsiTheme="majorHAnsi"/>
          <w:sz w:val="20"/>
          <w:szCs w:val="20"/>
        </w:rPr>
      </w:pPr>
    </w:p>
    <w:p w14:paraId="76B9CB08" w14:textId="4E8976A3" w:rsidR="00247285" w:rsidRPr="006C46AB" w:rsidRDefault="008D628B" w:rsidP="006877D9">
      <w:pPr>
        <w:widowControl w:val="0"/>
        <w:spacing w:line="360" w:lineRule="auto"/>
        <w:rPr>
          <w:rFonts w:asciiTheme="majorHAnsi" w:hAnsiTheme="majorHAnsi"/>
          <w:szCs w:val="20"/>
        </w:rPr>
      </w:pPr>
      <w:r w:rsidRPr="006C46AB">
        <w:rPr>
          <w:rFonts w:asciiTheme="majorHAnsi" w:hAnsiTheme="majorHAnsi"/>
          <w:sz w:val="20"/>
          <w:szCs w:val="20"/>
        </w:rPr>
        <w:t>48</w:t>
      </w:r>
      <w:r w:rsidR="00247285" w:rsidRPr="006C46AB">
        <w:rPr>
          <w:rFonts w:asciiTheme="majorHAnsi" w:hAnsiTheme="majorHAnsi"/>
          <w:sz w:val="20"/>
          <w:szCs w:val="20"/>
        </w:rPr>
        <w:t xml:space="preserve"> </w:t>
      </w:r>
      <w:proofErr w:type="spellStart"/>
      <w:r w:rsidR="00247285" w:rsidRPr="006C46AB">
        <w:rPr>
          <w:rFonts w:asciiTheme="majorHAnsi" w:hAnsiTheme="majorHAnsi" w:cs="Times New Roman"/>
          <w:sz w:val="20"/>
          <w:szCs w:val="16"/>
          <w:lang w:val="en-US"/>
        </w:rPr>
        <w:t>Dhaliwal</w:t>
      </w:r>
      <w:proofErr w:type="spellEnd"/>
      <w:r w:rsidR="00247285" w:rsidRPr="006C46AB">
        <w:rPr>
          <w:rFonts w:asciiTheme="majorHAnsi" w:hAnsiTheme="majorHAnsi" w:cs="Times New Roman"/>
          <w:sz w:val="20"/>
          <w:szCs w:val="16"/>
          <w:lang w:val="en-US"/>
        </w:rPr>
        <w:t xml:space="preserve"> W, Bajaj-Elliott M, Kelly P. Intestinal </w:t>
      </w:r>
      <w:proofErr w:type="spellStart"/>
      <w:r w:rsidR="00247285" w:rsidRPr="006C46AB">
        <w:rPr>
          <w:rFonts w:asciiTheme="majorHAnsi" w:hAnsiTheme="majorHAnsi" w:cs="Times New Roman"/>
          <w:sz w:val="20"/>
          <w:szCs w:val="16"/>
          <w:lang w:val="en-US"/>
        </w:rPr>
        <w:t>defensin</w:t>
      </w:r>
      <w:proofErr w:type="spellEnd"/>
      <w:r w:rsidR="00247285" w:rsidRPr="006C46AB">
        <w:rPr>
          <w:rFonts w:asciiTheme="majorHAnsi" w:hAnsiTheme="majorHAnsi" w:cs="Times New Roman"/>
          <w:sz w:val="20"/>
          <w:szCs w:val="16"/>
          <w:lang w:val="en-US"/>
        </w:rPr>
        <w:t xml:space="preserve"> gene expression in human populations. </w:t>
      </w:r>
      <w:proofErr w:type="spellStart"/>
      <w:r w:rsidR="00247285" w:rsidRPr="006C46AB">
        <w:rPr>
          <w:rFonts w:asciiTheme="majorHAnsi" w:hAnsiTheme="majorHAnsi" w:cs="Times New Roman"/>
          <w:sz w:val="20"/>
          <w:szCs w:val="16"/>
          <w:lang w:val="en-US"/>
        </w:rPr>
        <w:t>Mol</w:t>
      </w:r>
      <w:proofErr w:type="spellEnd"/>
      <w:r w:rsidR="00247285" w:rsidRPr="006C46AB">
        <w:rPr>
          <w:rFonts w:asciiTheme="majorHAnsi" w:hAnsiTheme="majorHAnsi" w:cs="Times New Roman"/>
          <w:sz w:val="20"/>
          <w:szCs w:val="16"/>
          <w:lang w:val="en-US"/>
        </w:rPr>
        <w:t xml:space="preserve"> </w:t>
      </w:r>
      <w:proofErr w:type="spellStart"/>
      <w:r w:rsidR="00247285" w:rsidRPr="006C46AB">
        <w:rPr>
          <w:rFonts w:asciiTheme="majorHAnsi" w:hAnsiTheme="majorHAnsi" w:cs="Times New Roman"/>
          <w:sz w:val="20"/>
          <w:szCs w:val="16"/>
          <w:lang w:val="en-US"/>
        </w:rPr>
        <w:t>Immunol</w:t>
      </w:r>
      <w:proofErr w:type="spellEnd"/>
      <w:r w:rsidR="00247285" w:rsidRPr="006C46AB">
        <w:rPr>
          <w:rFonts w:asciiTheme="majorHAnsi" w:hAnsiTheme="majorHAnsi" w:cs="Times New Roman"/>
          <w:sz w:val="20"/>
          <w:szCs w:val="16"/>
          <w:lang w:val="en-US"/>
        </w:rPr>
        <w:t xml:space="preserve"> 2003; 40: 469-475.</w:t>
      </w:r>
    </w:p>
    <w:p w14:paraId="50AEF63B" w14:textId="77777777" w:rsidR="00247285" w:rsidRPr="006C46AB" w:rsidRDefault="00247285" w:rsidP="00247285">
      <w:pPr>
        <w:widowControl w:val="0"/>
        <w:spacing w:line="360" w:lineRule="auto"/>
        <w:rPr>
          <w:rFonts w:asciiTheme="majorHAnsi" w:hAnsiTheme="majorHAnsi"/>
          <w:sz w:val="20"/>
          <w:szCs w:val="22"/>
        </w:rPr>
      </w:pPr>
    </w:p>
    <w:p w14:paraId="00B31108" w14:textId="3165CDCB" w:rsidR="007949A2" w:rsidRPr="006C46AB" w:rsidRDefault="008D628B" w:rsidP="00247285">
      <w:pPr>
        <w:widowControl w:val="0"/>
        <w:spacing w:line="360" w:lineRule="auto"/>
        <w:rPr>
          <w:rFonts w:asciiTheme="majorHAnsi" w:hAnsiTheme="majorHAnsi"/>
          <w:sz w:val="20"/>
          <w:szCs w:val="22"/>
        </w:rPr>
      </w:pPr>
      <w:r w:rsidRPr="006C46AB">
        <w:rPr>
          <w:rFonts w:asciiTheme="majorHAnsi" w:hAnsiTheme="majorHAnsi"/>
          <w:sz w:val="20"/>
          <w:szCs w:val="22"/>
        </w:rPr>
        <w:t>49</w:t>
      </w:r>
      <w:r w:rsidR="00247285" w:rsidRPr="006C46AB">
        <w:rPr>
          <w:rFonts w:asciiTheme="majorHAnsi" w:hAnsiTheme="majorHAnsi"/>
          <w:sz w:val="20"/>
          <w:szCs w:val="22"/>
        </w:rPr>
        <w:t xml:space="preserve"> </w:t>
      </w:r>
      <w:proofErr w:type="spellStart"/>
      <w:r w:rsidR="007949A2" w:rsidRPr="006C46AB">
        <w:rPr>
          <w:rFonts w:asciiTheme="majorHAnsi" w:hAnsiTheme="majorHAnsi"/>
          <w:sz w:val="20"/>
          <w:szCs w:val="22"/>
        </w:rPr>
        <w:t>Veitch</w:t>
      </w:r>
      <w:proofErr w:type="spellEnd"/>
      <w:r w:rsidR="007949A2" w:rsidRPr="006C46AB">
        <w:rPr>
          <w:rFonts w:asciiTheme="majorHAnsi" w:hAnsiTheme="majorHAnsi"/>
          <w:sz w:val="20"/>
          <w:szCs w:val="22"/>
        </w:rPr>
        <w:t xml:space="preserve"> A, Kelly Pl, Zulu I, et al. Tropical enteropathy: a T cell mediated crypt hyperplastic enteropathy. </w:t>
      </w:r>
      <w:proofErr w:type="spellStart"/>
      <w:r w:rsidR="007949A2" w:rsidRPr="006C46AB">
        <w:rPr>
          <w:rFonts w:asciiTheme="majorHAnsi" w:hAnsiTheme="majorHAnsi"/>
          <w:sz w:val="20"/>
          <w:szCs w:val="22"/>
        </w:rPr>
        <w:t>Eur</w:t>
      </w:r>
      <w:proofErr w:type="spellEnd"/>
      <w:r w:rsidR="007949A2" w:rsidRPr="006C46AB">
        <w:rPr>
          <w:rFonts w:asciiTheme="majorHAnsi" w:hAnsiTheme="majorHAnsi"/>
          <w:sz w:val="20"/>
          <w:szCs w:val="22"/>
        </w:rPr>
        <w:t xml:space="preserve"> J </w:t>
      </w:r>
      <w:proofErr w:type="spellStart"/>
      <w:r w:rsidR="007949A2" w:rsidRPr="006C46AB">
        <w:rPr>
          <w:rFonts w:asciiTheme="majorHAnsi" w:hAnsiTheme="majorHAnsi"/>
          <w:sz w:val="20"/>
          <w:szCs w:val="22"/>
        </w:rPr>
        <w:t>Gastroenterol</w:t>
      </w:r>
      <w:proofErr w:type="spellEnd"/>
      <w:r w:rsidR="007949A2" w:rsidRPr="006C46AB">
        <w:rPr>
          <w:rFonts w:asciiTheme="majorHAnsi" w:hAnsiTheme="majorHAnsi"/>
          <w:sz w:val="20"/>
          <w:szCs w:val="22"/>
        </w:rPr>
        <w:t xml:space="preserve"> </w:t>
      </w:r>
      <w:proofErr w:type="spellStart"/>
      <w:r w:rsidR="007949A2" w:rsidRPr="006C46AB">
        <w:rPr>
          <w:rFonts w:asciiTheme="majorHAnsi" w:hAnsiTheme="majorHAnsi"/>
          <w:sz w:val="20"/>
          <w:szCs w:val="22"/>
        </w:rPr>
        <w:t>Hepatol</w:t>
      </w:r>
      <w:proofErr w:type="spellEnd"/>
      <w:r w:rsidR="007949A2" w:rsidRPr="006C46AB">
        <w:rPr>
          <w:rFonts w:asciiTheme="majorHAnsi" w:hAnsiTheme="majorHAnsi"/>
          <w:sz w:val="20"/>
          <w:szCs w:val="22"/>
        </w:rPr>
        <w:t xml:space="preserve"> 2001; 13: 1175-1181.</w:t>
      </w:r>
    </w:p>
    <w:p w14:paraId="6F4EBE50" w14:textId="77777777" w:rsidR="007949A2" w:rsidRPr="006C46AB" w:rsidRDefault="007949A2" w:rsidP="00247285">
      <w:pPr>
        <w:widowControl w:val="0"/>
        <w:spacing w:line="360" w:lineRule="auto"/>
        <w:rPr>
          <w:rFonts w:asciiTheme="majorHAnsi" w:hAnsiTheme="majorHAnsi"/>
          <w:sz w:val="20"/>
          <w:szCs w:val="22"/>
        </w:rPr>
      </w:pPr>
    </w:p>
    <w:p w14:paraId="632906E1" w14:textId="46D9BAC6" w:rsidR="00247285" w:rsidRPr="006C46AB" w:rsidRDefault="008D628B" w:rsidP="00247285">
      <w:pPr>
        <w:widowControl w:val="0"/>
        <w:spacing w:line="360" w:lineRule="auto"/>
        <w:rPr>
          <w:rFonts w:asciiTheme="majorHAnsi" w:hAnsiTheme="majorHAnsi"/>
          <w:sz w:val="20"/>
          <w:szCs w:val="22"/>
        </w:rPr>
      </w:pPr>
      <w:r w:rsidRPr="006C46AB">
        <w:rPr>
          <w:rFonts w:asciiTheme="majorHAnsi" w:hAnsiTheme="majorHAnsi"/>
          <w:sz w:val="20"/>
          <w:szCs w:val="22"/>
        </w:rPr>
        <w:t>50</w:t>
      </w:r>
      <w:r w:rsidR="007949A2" w:rsidRPr="006C46AB">
        <w:rPr>
          <w:rFonts w:asciiTheme="majorHAnsi" w:hAnsiTheme="majorHAnsi"/>
          <w:sz w:val="20"/>
          <w:szCs w:val="22"/>
        </w:rPr>
        <w:t xml:space="preserve"> </w:t>
      </w:r>
      <w:proofErr w:type="spellStart"/>
      <w:r w:rsidR="00247285" w:rsidRPr="006C46AB">
        <w:rPr>
          <w:rFonts w:asciiTheme="majorHAnsi" w:hAnsiTheme="majorHAnsi"/>
          <w:sz w:val="20"/>
          <w:szCs w:val="22"/>
        </w:rPr>
        <w:t>Wapenaar</w:t>
      </w:r>
      <w:proofErr w:type="spellEnd"/>
      <w:r w:rsidR="00247285" w:rsidRPr="006C46AB">
        <w:rPr>
          <w:rFonts w:asciiTheme="majorHAnsi" w:hAnsiTheme="majorHAnsi"/>
          <w:sz w:val="20"/>
          <w:szCs w:val="22"/>
        </w:rPr>
        <w:t xml:space="preserve"> MS, </w:t>
      </w:r>
      <w:proofErr w:type="spellStart"/>
      <w:r w:rsidR="00247285" w:rsidRPr="006C46AB">
        <w:rPr>
          <w:rFonts w:asciiTheme="majorHAnsi" w:hAnsiTheme="majorHAnsi"/>
          <w:sz w:val="20"/>
          <w:szCs w:val="22"/>
        </w:rPr>
        <w:t>Monsuur</w:t>
      </w:r>
      <w:proofErr w:type="spellEnd"/>
      <w:r w:rsidR="00247285" w:rsidRPr="006C46AB">
        <w:rPr>
          <w:rFonts w:asciiTheme="majorHAnsi" w:hAnsiTheme="majorHAnsi"/>
          <w:sz w:val="20"/>
          <w:szCs w:val="22"/>
        </w:rPr>
        <w:t xml:space="preserve"> AJ, </w:t>
      </w:r>
      <w:proofErr w:type="spellStart"/>
      <w:r w:rsidR="00247285" w:rsidRPr="006C46AB">
        <w:rPr>
          <w:rFonts w:asciiTheme="majorHAnsi" w:hAnsiTheme="majorHAnsi"/>
          <w:sz w:val="20"/>
          <w:szCs w:val="22"/>
        </w:rPr>
        <w:t>Poell</w:t>
      </w:r>
      <w:proofErr w:type="spellEnd"/>
      <w:r w:rsidR="00247285" w:rsidRPr="006C46AB">
        <w:rPr>
          <w:rFonts w:asciiTheme="majorHAnsi" w:hAnsiTheme="majorHAnsi"/>
          <w:sz w:val="20"/>
          <w:szCs w:val="22"/>
        </w:rPr>
        <w:t xml:space="preserve"> J, </w:t>
      </w:r>
      <w:r w:rsidR="00A0494D" w:rsidRPr="006C46AB">
        <w:rPr>
          <w:rFonts w:asciiTheme="majorHAnsi" w:hAnsiTheme="majorHAnsi"/>
          <w:sz w:val="20"/>
          <w:szCs w:val="22"/>
        </w:rPr>
        <w:t>et al</w:t>
      </w:r>
      <w:r w:rsidR="00247285" w:rsidRPr="006C46AB">
        <w:rPr>
          <w:rFonts w:asciiTheme="majorHAnsi" w:hAnsiTheme="majorHAnsi"/>
          <w:sz w:val="20"/>
          <w:szCs w:val="22"/>
        </w:rPr>
        <w:t xml:space="preserve">. The SPINK gene family and celiac disease susceptibility. </w:t>
      </w:r>
      <w:proofErr w:type="spellStart"/>
      <w:r w:rsidR="00247285" w:rsidRPr="006C46AB">
        <w:rPr>
          <w:rFonts w:asciiTheme="majorHAnsi" w:hAnsiTheme="majorHAnsi"/>
          <w:sz w:val="20"/>
          <w:szCs w:val="22"/>
        </w:rPr>
        <w:t>Immunogenetics</w:t>
      </w:r>
      <w:proofErr w:type="spellEnd"/>
      <w:r w:rsidR="00247285" w:rsidRPr="006C46AB">
        <w:rPr>
          <w:rFonts w:asciiTheme="majorHAnsi" w:hAnsiTheme="majorHAnsi"/>
          <w:sz w:val="20"/>
          <w:szCs w:val="22"/>
        </w:rPr>
        <w:t xml:space="preserve"> 2007; 59: 349-357. </w:t>
      </w:r>
    </w:p>
    <w:p w14:paraId="2B1A4A09" w14:textId="2A96FF75" w:rsidR="00247285" w:rsidRPr="006C46AB" w:rsidRDefault="00247285" w:rsidP="000168D4">
      <w:pPr>
        <w:widowControl w:val="0"/>
        <w:spacing w:line="360" w:lineRule="auto"/>
        <w:rPr>
          <w:rFonts w:asciiTheme="majorHAnsi" w:hAnsiTheme="majorHAnsi"/>
          <w:sz w:val="20"/>
          <w:szCs w:val="20"/>
        </w:rPr>
      </w:pPr>
    </w:p>
    <w:p w14:paraId="2E7F1EF3" w14:textId="6D01C4DC" w:rsidR="00B938FE" w:rsidRPr="006C46AB" w:rsidRDefault="008D628B" w:rsidP="0025423E">
      <w:pPr>
        <w:widowControl w:val="0"/>
        <w:spacing w:line="360" w:lineRule="auto"/>
        <w:rPr>
          <w:rFonts w:asciiTheme="majorHAnsi" w:hAnsiTheme="majorHAnsi"/>
          <w:sz w:val="20"/>
          <w:szCs w:val="20"/>
        </w:rPr>
      </w:pPr>
      <w:r w:rsidRPr="006C46AB">
        <w:rPr>
          <w:rFonts w:asciiTheme="majorHAnsi" w:hAnsiTheme="majorHAnsi"/>
          <w:sz w:val="20"/>
          <w:szCs w:val="20"/>
        </w:rPr>
        <w:t>51</w:t>
      </w:r>
      <w:r w:rsidR="006B11CA" w:rsidRPr="006C46AB">
        <w:rPr>
          <w:rFonts w:asciiTheme="majorHAnsi" w:hAnsiTheme="majorHAnsi"/>
          <w:sz w:val="20"/>
          <w:szCs w:val="20"/>
        </w:rPr>
        <w:t xml:space="preserve"> </w:t>
      </w:r>
      <w:proofErr w:type="spellStart"/>
      <w:r w:rsidR="006B11CA" w:rsidRPr="006C46AB">
        <w:rPr>
          <w:rFonts w:asciiTheme="majorHAnsi" w:hAnsiTheme="majorHAnsi"/>
          <w:sz w:val="20"/>
          <w:szCs w:val="20"/>
        </w:rPr>
        <w:t>Aamann</w:t>
      </w:r>
      <w:proofErr w:type="spellEnd"/>
      <w:r w:rsidR="006B11CA" w:rsidRPr="006C46AB">
        <w:rPr>
          <w:rFonts w:asciiTheme="majorHAnsi" w:hAnsiTheme="majorHAnsi"/>
          <w:sz w:val="20"/>
          <w:szCs w:val="20"/>
        </w:rPr>
        <w:t xml:space="preserve"> L, </w:t>
      </w:r>
      <w:proofErr w:type="spellStart"/>
      <w:r w:rsidR="006B11CA" w:rsidRPr="006C46AB">
        <w:rPr>
          <w:rFonts w:asciiTheme="majorHAnsi" w:hAnsiTheme="majorHAnsi"/>
          <w:sz w:val="20"/>
          <w:szCs w:val="20"/>
        </w:rPr>
        <w:t>Vestergaard</w:t>
      </w:r>
      <w:proofErr w:type="spellEnd"/>
      <w:r w:rsidR="006B11CA" w:rsidRPr="006C46AB">
        <w:rPr>
          <w:rFonts w:asciiTheme="majorHAnsi" w:hAnsiTheme="majorHAnsi"/>
          <w:sz w:val="20"/>
          <w:szCs w:val="20"/>
        </w:rPr>
        <w:t xml:space="preserve"> EM, </w:t>
      </w:r>
      <w:proofErr w:type="spellStart"/>
      <w:r w:rsidR="006B11CA" w:rsidRPr="006C46AB">
        <w:rPr>
          <w:rFonts w:asciiTheme="majorHAnsi" w:hAnsiTheme="majorHAnsi"/>
          <w:sz w:val="20"/>
          <w:szCs w:val="20"/>
        </w:rPr>
        <w:t>Gronbaek</w:t>
      </w:r>
      <w:proofErr w:type="spellEnd"/>
      <w:r w:rsidR="006B11CA" w:rsidRPr="006C46AB">
        <w:rPr>
          <w:rFonts w:asciiTheme="majorHAnsi" w:hAnsiTheme="majorHAnsi"/>
          <w:sz w:val="20"/>
          <w:szCs w:val="20"/>
        </w:rPr>
        <w:t xml:space="preserve"> H. Trefoil factors in inflammatory bowel disease. World J </w:t>
      </w:r>
      <w:proofErr w:type="spellStart"/>
      <w:r w:rsidR="006B11CA" w:rsidRPr="006C46AB">
        <w:rPr>
          <w:rFonts w:asciiTheme="majorHAnsi" w:hAnsiTheme="majorHAnsi"/>
          <w:sz w:val="20"/>
          <w:szCs w:val="20"/>
        </w:rPr>
        <w:t>Gastroenterol</w:t>
      </w:r>
      <w:proofErr w:type="spellEnd"/>
      <w:r w:rsidR="006B11CA" w:rsidRPr="006C46AB">
        <w:rPr>
          <w:rFonts w:asciiTheme="majorHAnsi" w:hAnsiTheme="majorHAnsi"/>
          <w:sz w:val="20"/>
          <w:szCs w:val="20"/>
        </w:rPr>
        <w:t xml:space="preserve"> 2014; 20: 3223-3230.</w:t>
      </w:r>
    </w:p>
    <w:p w14:paraId="689A8763" w14:textId="77777777" w:rsidR="00691E64" w:rsidRPr="006C46AB" w:rsidRDefault="00691E64" w:rsidP="0025423E">
      <w:pPr>
        <w:widowControl w:val="0"/>
        <w:spacing w:line="360" w:lineRule="auto"/>
        <w:rPr>
          <w:rFonts w:asciiTheme="majorHAnsi" w:hAnsiTheme="majorHAnsi"/>
          <w:sz w:val="20"/>
          <w:szCs w:val="20"/>
        </w:rPr>
      </w:pPr>
    </w:p>
    <w:p w14:paraId="27DFE95B" w14:textId="6A8C7D52" w:rsidR="00691E64" w:rsidRPr="00A0494D" w:rsidRDefault="008D628B" w:rsidP="0025423E">
      <w:pPr>
        <w:widowControl w:val="0"/>
        <w:spacing w:line="360" w:lineRule="auto"/>
        <w:rPr>
          <w:rFonts w:asciiTheme="majorHAnsi" w:hAnsiTheme="majorHAnsi"/>
          <w:sz w:val="20"/>
          <w:szCs w:val="20"/>
        </w:rPr>
      </w:pPr>
      <w:r w:rsidRPr="006C46AB">
        <w:rPr>
          <w:rFonts w:asciiTheme="majorHAnsi" w:hAnsiTheme="majorHAnsi"/>
          <w:sz w:val="20"/>
          <w:szCs w:val="20"/>
        </w:rPr>
        <w:t>52</w:t>
      </w:r>
      <w:r w:rsidR="00501F5A" w:rsidRPr="006C46AB">
        <w:rPr>
          <w:rFonts w:asciiTheme="majorHAnsi" w:hAnsiTheme="majorHAnsi"/>
          <w:sz w:val="20"/>
          <w:szCs w:val="20"/>
        </w:rPr>
        <w:t xml:space="preserve"> </w:t>
      </w:r>
      <w:proofErr w:type="spellStart"/>
      <w:r w:rsidR="00501F5A" w:rsidRPr="006C46AB">
        <w:rPr>
          <w:rFonts w:asciiTheme="majorHAnsi" w:hAnsiTheme="majorHAnsi"/>
          <w:sz w:val="20"/>
          <w:szCs w:val="20"/>
        </w:rPr>
        <w:t>Vestergaard</w:t>
      </w:r>
      <w:proofErr w:type="spellEnd"/>
      <w:r w:rsidR="00501F5A" w:rsidRPr="006C46AB">
        <w:rPr>
          <w:rFonts w:asciiTheme="majorHAnsi" w:hAnsiTheme="majorHAnsi"/>
          <w:sz w:val="20"/>
          <w:szCs w:val="20"/>
        </w:rPr>
        <w:t xml:space="preserve"> EM, </w:t>
      </w:r>
      <w:proofErr w:type="spellStart"/>
      <w:r w:rsidR="00501F5A" w:rsidRPr="006C46AB">
        <w:rPr>
          <w:rFonts w:asciiTheme="majorHAnsi" w:hAnsiTheme="majorHAnsi"/>
          <w:sz w:val="20"/>
          <w:szCs w:val="20"/>
        </w:rPr>
        <w:t>Nexo</w:t>
      </w:r>
      <w:proofErr w:type="spellEnd"/>
      <w:r w:rsidR="00501F5A" w:rsidRPr="006C46AB">
        <w:rPr>
          <w:rFonts w:asciiTheme="majorHAnsi" w:hAnsiTheme="majorHAnsi"/>
          <w:sz w:val="20"/>
          <w:szCs w:val="20"/>
        </w:rPr>
        <w:t xml:space="preserve"> E, Wendt A, </w:t>
      </w:r>
      <w:r w:rsidR="00283F54" w:rsidRPr="006C46AB">
        <w:rPr>
          <w:rFonts w:asciiTheme="majorHAnsi" w:hAnsiTheme="majorHAnsi"/>
          <w:sz w:val="20"/>
          <w:szCs w:val="20"/>
        </w:rPr>
        <w:t>et al</w:t>
      </w:r>
      <w:r w:rsidR="00501F5A" w:rsidRPr="006C46AB">
        <w:rPr>
          <w:rFonts w:asciiTheme="majorHAnsi" w:hAnsiTheme="majorHAnsi"/>
          <w:sz w:val="20"/>
          <w:szCs w:val="20"/>
        </w:rPr>
        <w:t xml:space="preserve">. Trefoil factors in human milk. Early Hum </w:t>
      </w:r>
      <w:proofErr w:type="spellStart"/>
      <w:r w:rsidR="00501F5A" w:rsidRPr="006C46AB">
        <w:rPr>
          <w:rFonts w:asciiTheme="majorHAnsi" w:hAnsiTheme="majorHAnsi"/>
          <w:sz w:val="20"/>
          <w:szCs w:val="20"/>
        </w:rPr>
        <w:t>Dev</w:t>
      </w:r>
      <w:proofErr w:type="spellEnd"/>
      <w:r w:rsidR="00501F5A" w:rsidRPr="006C46AB">
        <w:rPr>
          <w:rFonts w:asciiTheme="majorHAnsi" w:hAnsiTheme="majorHAnsi"/>
          <w:sz w:val="20"/>
          <w:szCs w:val="20"/>
        </w:rPr>
        <w:t xml:space="preserve"> 2008; 84: 631-635.</w:t>
      </w:r>
      <w:r w:rsidR="00501F5A" w:rsidRPr="00A0494D">
        <w:rPr>
          <w:rFonts w:asciiTheme="majorHAnsi" w:hAnsiTheme="majorHAnsi"/>
          <w:sz w:val="20"/>
          <w:szCs w:val="20"/>
        </w:rPr>
        <w:t xml:space="preserve"> </w:t>
      </w:r>
    </w:p>
    <w:p w14:paraId="0E517313" w14:textId="15149DDA" w:rsidR="00E46D5B" w:rsidRPr="00E46D5B" w:rsidRDefault="00E46D5B" w:rsidP="00E46D5B">
      <w:pPr>
        <w:widowControl w:val="0"/>
        <w:spacing w:line="360" w:lineRule="auto"/>
        <w:rPr>
          <w:rFonts w:asciiTheme="majorHAnsi" w:hAnsiTheme="majorHAnsi"/>
          <w:sz w:val="20"/>
          <w:szCs w:val="20"/>
        </w:rPr>
      </w:pPr>
    </w:p>
    <w:p w14:paraId="57E942FF" w14:textId="6296278D" w:rsidR="003123FC" w:rsidRPr="004F7E93" w:rsidRDefault="003123FC" w:rsidP="0025423E">
      <w:pPr>
        <w:widowControl w:val="0"/>
        <w:spacing w:line="360" w:lineRule="auto"/>
        <w:rPr>
          <w:rFonts w:asciiTheme="majorHAnsi" w:hAnsiTheme="majorHAnsi"/>
        </w:rPr>
      </w:pPr>
    </w:p>
    <w:sectPr w:rsidR="003123FC" w:rsidRPr="004F7E93" w:rsidSect="003D56F7">
      <w:pgSz w:w="11900" w:h="16840"/>
      <w:pgMar w:top="1440" w:right="1418" w:bottom="1440"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BC235" w14:textId="77777777" w:rsidR="008D628B" w:rsidRDefault="008D628B" w:rsidP="00A70F34">
      <w:r>
        <w:separator/>
      </w:r>
    </w:p>
  </w:endnote>
  <w:endnote w:type="continuationSeparator" w:id="0">
    <w:p w14:paraId="061AAF28" w14:textId="77777777" w:rsidR="008D628B" w:rsidRDefault="008D628B" w:rsidP="00A7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Myriad Pro Light">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0859" w14:textId="77777777" w:rsidR="008D628B" w:rsidRDefault="008D628B" w:rsidP="00B3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CAF90" w14:textId="77777777" w:rsidR="008D628B" w:rsidRDefault="008D628B" w:rsidP="00A70F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CCE6" w14:textId="77777777" w:rsidR="008D628B" w:rsidRPr="00182075" w:rsidRDefault="008D628B" w:rsidP="00182075">
    <w:pPr>
      <w:pStyle w:val="Footer"/>
      <w:framePr w:wrap="around" w:vAnchor="text" w:hAnchor="page" w:x="10229" w:y="-10"/>
      <w:rPr>
        <w:rStyle w:val="PageNumber"/>
        <w:rFonts w:asciiTheme="majorHAnsi" w:hAnsiTheme="majorHAnsi"/>
      </w:rPr>
    </w:pPr>
    <w:r w:rsidRPr="00182075">
      <w:rPr>
        <w:rStyle w:val="PageNumber"/>
        <w:rFonts w:asciiTheme="majorHAnsi" w:hAnsiTheme="majorHAnsi"/>
      </w:rPr>
      <w:fldChar w:fldCharType="begin"/>
    </w:r>
    <w:r w:rsidRPr="00182075">
      <w:rPr>
        <w:rStyle w:val="PageNumber"/>
        <w:rFonts w:asciiTheme="majorHAnsi" w:hAnsiTheme="majorHAnsi"/>
      </w:rPr>
      <w:instrText xml:space="preserve">PAGE  </w:instrText>
    </w:r>
    <w:r w:rsidRPr="00182075">
      <w:rPr>
        <w:rStyle w:val="PageNumber"/>
        <w:rFonts w:asciiTheme="majorHAnsi" w:hAnsiTheme="majorHAnsi"/>
      </w:rPr>
      <w:fldChar w:fldCharType="separate"/>
    </w:r>
    <w:r w:rsidR="00E14FFB">
      <w:rPr>
        <w:rStyle w:val="PageNumber"/>
        <w:rFonts w:asciiTheme="majorHAnsi" w:hAnsiTheme="majorHAnsi"/>
        <w:noProof/>
      </w:rPr>
      <w:t>6</w:t>
    </w:r>
    <w:r w:rsidRPr="00182075">
      <w:rPr>
        <w:rStyle w:val="PageNumber"/>
        <w:rFonts w:asciiTheme="majorHAnsi" w:hAnsiTheme="majorHAnsi"/>
      </w:rPr>
      <w:fldChar w:fldCharType="end"/>
    </w:r>
  </w:p>
  <w:p w14:paraId="7767F4FF" w14:textId="77777777" w:rsidR="008D628B" w:rsidRDefault="008D628B" w:rsidP="00A70F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E1634" w14:textId="77777777" w:rsidR="008D628B" w:rsidRDefault="008D628B" w:rsidP="00A70F34">
      <w:r>
        <w:separator/>
      </w:r>
    </w:p>
  </w:footnote>
  <w:footnote w:type="continuationSeparator" w:id="0">
    <w:p w14:paraId="2687A11B" w14:textId="77777777" w:rsidR="008D628B" w:rsidRDefault="008D628B" w:rsidP="00A70F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FEE"/>
    <w:multiLevelType w:val="hybridMultilevel"/>
    <w:tmpl w:val="74BCB0DE"/>
    <w:lvl w:ilvl="0" w:tplc="58228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68B5"/>
    <w:multiLevelType w:val="multilevel"/>
    <w:tmpl w:val="0409001D"/>
    <w:styleLink w:val="Style1"/>
    <w:lvl w:ilvl="0">
      <w:start w:val="1"/>
      <w:numFmt w:val="lowerRoman"/>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020AAF"/>
    <w:multiLevelType w:val="hybridMultilevel"/>
    <w:tmpl w:val="2F90ECC2"/>
    <w:lvl w:ilvl="0" w:tplc="58228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E7361"/>
    <w:multiLevelType w:val="hybridMultilevel"/>
    <w:tmpl w:val="75583DCA"/>
    <w:lvl w:ilvl="0" w:tplc="58228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93"/>
    <w:rsid w:val="00000F46"/>
    <w:rsid w:val="000141CF"/>
    <w:rsid w:val="000143A8"/>
    <w:rsid w:val="000144F7"/>
    <w:rsid w:val="000168D4"/>
    <w:rsid w:val="000177D4"/>
    <w:rsid w:val="00031246"/>
    <w:rsid w:val="00032126"/>
    <w:rsid w:val="0004543D"/>
    <w:rsid w:val="00046FDF"/>
    <w:rsid w:val="000519CF"/>
    <w:rsid w:val="0005445F"/>
    <w:rsid w:val="00054DCF"/>
    <w:rsid w:val="00061F69"/>
    <w:rsid w:val="00062E7F"/>
    <w:rsid w:val="00065ABC"/>
    <w:rsid w:val="00071E4A"/>
    <w:rsid w:val="0007203C"/>
    <w:rsid w:val="000748E7"/>
    <w:rsid w:val="00074E85"/>
    <w:rsid w:val="0007509D"/>
    <w:rsid w:val="000761A7"/>
    <w:rsid w:val="00084769"/>
    <w:rsid w:val="00084B17"/>
    <w:rsid w:val="00090E6D"/>
    <w:rsid w:val="00091FE0"/>
    <w:rsid w:val="000976FC"/>
    <w:rsid w:val="000A038A"/>
    <w:rsid w:val="000A07BD"/>
    <w:rsid w:val="000B1349"/>
    <w:rsid w:val="000B1B4F"/>
    <w:rsid w:val="000B7CB1"/>
    <w:rsid w:val="000D2096"/>
    <w:rsid w:val="000D2273"/>
    <w:rsid w:val="000D28A6"/>
    <w:rsid w:val="000D33D5"/>
    <w:rsid w:val="000E18EA"/>
    <w:rsid w:val="000E214B"/>
    <w:rsid w:val="000E5606"/>
    <w:rsid w:val="000E57CB"/>
    <w:rsid w:val="000F23DA"/>
    <w:rsid w:val="000F68A1"/>
    <w:rsid w:val="0010486D"/>
    <w:rsid w:val="00107DEB"/>
    <w:rsid w:val="00110B08"/>
    <w:rsid w:val="00112C50"/>
    <w:rsid w:val="00140A52"/>
    <w:rsid w:val="00141301"/>
    <w:rsid w:val="00142D85"/>
    <w:rsid w:val="001431FF"/>
    <w:rsid w:val="001479D0"/>
    <w:rsid w:val="00156A5A"/>
    <w:rsid w:val="00162BE2"/>
    <w:rsid w:val="0016556A"/>
    <w:rsid w:val="0017553E"/>
    <w:rsid w:val="0017559D"/>
    <w:rsid w:val="00180450"/>
    <w:rsid w:val="00182075"/>
    <w:rsid w:val="00195F79"/>
    <w:rsid w:val="001B56FA"/>
    <w:rsid w:val="001D16AD"/>
    <w:rsid w:val="001D5999"/>
    <w:rsid w:val="001E2F6F"/>
    <w:rsid w:val="001E6337"/>
    <w:rsid w:val="00200417"/>
    <w:rsid w:val="00215B18"/>
    <w:rsid w:val="00217646"/>
    <w:rsid w:val="00220017"/>
    <w:rsid w:val="0022222D"/>
    <w:rsid w:val="0022420D"/>
    <w:rsid w:val="002254DC"/>
    <w:rsid w:val="00226037"/>
    <w:rsid w:val="00237C6D"/>
    <w:rsid w:val="00247285"/>
    <w:rsid w:val="0024735A"/>
    <w:rsid w:val="00251E14"/>
    <w:rsid w:val="0025423E"/>
    <w:rsid w:val="00262076"/>
    <w:rsid w:val="0026598C"/>
    <w:rsid w:val="00267B2F"/>
    <w:rsid w:val="00271359"/>
    <w:rsid w:val="002715CF"/>
    <w:rsid w:val="0027646B"/>
    <w:rsid w:val="00276EAC"/>
    <w:rsid w:val="00283F54"/>
    <w:rsid w:val="00296E95"/>
    <w:rsid w:val="002A23DF"/>
    <w:rsid w:val="002A2AA2"/>
    <w:rsid w:val="002A59FB"/>
    <w:rsid w:val="002B7EE4"/>
    <w:rsid w:val="002C1FBA"/>
    <w:rsid w:val="002C4A20"/>
    <w:rsid w:val="002E0392"/>
    <w:rsid w:val="002E1E3F"/>
    <w:rsid w:val="002E33D7"/>
    <w:rsid w:val="002E6497"/>
    <w:rsid w:val="002F3456"/>
    <w:rsid w:val="00301F9E"/>
    <w:rsid w:val="00304508"/>
    <w:rsid w:val="00304C2D"/>
    <w:rsid w:val="0030708A"/>
    <w:rsid w:val="00310199"/>
    <w:rsid w:val="003119C2"/>
    <w:rsid w:val="00311E4E"/>
    <w:rsid w:val="003123FC"/>
    <w:rsid w:val="00314AC1"/>
    <w:rsid w:val="003161BA"/>
    <w:rsid w:val="003353B1"/>
    <w:rsid w:val="00340164"/>
    <w:rsid w:val="003421B6"/>
    <w:rsid w:val="003459F4"/>
    <w:rsid w:val="00350D21"/>
    <w:rsid w:val="0035636C"/>
    <w:rsid w:val="00361752"/>
    <w:rsid w:val="00370879"/>
    <w:rsid w:val="0037274E"/>
    <w:rsid w:val="00373F9A"/>
    <w:rsid w:val="00382F97"/>
    <w:rsid w:val="00393013"/>
    <w:rsid w:val="003961A5"/>
    <w:rsid w:val="003A1EF3"/>
    <w:rsid w:val="003B2729"/>
    <w:rsid w:val="003B5DCF"/>
    <w:rsid w:val="003C5179"/>
    <w:rsid w:val="003D415A"/>
    <w:rsid w:val="003D56F7"/>
    <w:rsid w:val="003E5053"/>
    <w:rsid w:val="003F0926"/>
    <w:rsid w:val="003F1ACB"/>
    <w:rsid w:val="0040412E"/>
    <w:rsid w:val="00414142"/>
    <w:rsid w:val="004167B0"/>
    <w:rsid w:val="004171A2"/>
    <w:rsid w:val="00421797"/>
    <w:rsid w:val="00430461"/>
    <w:rsid w:val="004318CA"/>
    <w:rsid w:val="004334E2"/>
    <w:rsid w:val="00434236"/>
    <w:rsid w:val="00446D87"/>
    <w:rsid w:val="00457A75"/>
    <w:rsid w:val="00465B57"/>
    <w:rsid w:val="0046774F"/>
    <w:rsid w:val="00471D45"/>
    <w:rsid w:val="004731FC"/>
    <w:rsid w:val="004801E5"/>
    <w:rsid w:val="0049106B"/>
    <w:rsid w:val="00492B51"/>
    <w:rsid w:val="004966CB"/>
    <w:rsid w:val="004A05DB"/>
    <w:rsid w:val="004A0881"/>
    <w:rsid w:val="004B05AB"/>
    <w:rsid w:val="004B22D1"/>
    <w:rsid w:val="004B373B"/>
    <w:rsid w:val="004C474B"/>
    <w:rsid w:val="004D72B5"/>
    <w:rsid w:val="004E326C"/>
    <w:rsid w:val="004F1478"/>
    <w:rsid w:val="004F2B29"/>
    <w:rsid w:val="004F7E93"/>
    <w:rsid w:val="00501F5A"/>
    <w:rsid w:val="00510ECC"/>
    <w:rsid w:val="0051176D"/>
    <w:rsid w:val="00511C91"/>
    <w:rsid w:val="00523016"/>
    <w:rsid w:val="005236EE"/>
    <w:rsid w:val="00552C9D"/>
    <w:rsid w:val="00561E2B"/>
    <w:rsid w:val="00574BFD"/>
    <w:rsid w:val="00574E46"/>
    <w:rsid w:val="00577B1C"/>
    <w:rsid w:val="00582A63"/>
    <w:rsid w:val="00583B89"/>
    <w:rsid w:val="00587805"/>
    <w:rsid w:val="005926F1"/>
    <w:rsid w:val="00596262"/>
    <w:rsid w:val="00597E53"/>
    <w:rsid w:val="005B6939"/>
    <w:rsid w:val="005C1F47"/>
    <w:rsid w:val="005C5FB8"/>
    <w:rsid w:val="005D0177"/>
    <w:rsid w:val="005D3896"/>
    <w:rsid w:val="005D3B93"/>
    <w:rsid w:val="005D4DA9"/>
    <w:rsid w:val="005D507A"/>
    <w:rsid w:val="005E63BE"/>
    <w:rsid w:val="005E7776"/>
    <w:rsid w:val="005E7F15"/>
    <w:rsid w:val="005F061E"/>
    <w:rsid w:val="005F0D1E"/>
    <w:rsid w:val="005F2B7D"/>
    <w:rsid w:val="005F48F9"/>
    <w:rsid w:val="00600DC6"/>
    <w:rsid w:val="00604C6C"/>
    <w:rsid w:val="0060587B"/>
    <w:rsid w:val="006063F9"/>
    <w:rsid w:val="00606CA5"/>
    <w:rsid w:val="00611F21"/>
    <w:rsid w:val="006146C4"/>
    <w:rsid w:val="00615E33"/>
    <w:rsid w:val="00620D8C"/>
    <w:rsid w:val="00620F7B"/>
    <w:rsid w:val="006253DB"/>
    <w:rsid w:val="00627834"/>
    <w:rsid w:val="00636333"/>
    <w:rsid w:val="00637900"/>
    <w:rsid w:val="006445C6"/>
    <w:rsid w:val="00650B78"/>
    <w:rsid w:val="0065301C"/>
    <w:rsid w:val="0066448C"/>
    <w:rsid w:val="00670372"/>
    <w:rsid w:val="00672D7C"/>
    <w:rsid w:val="00674C2B"/>
    <w:rsid w:val="0068171E"/>
    <w:rsid w:val="00682301"/>
    <w:rsid w:val="00686D95"/>
    <w:rsid w:val="006877D9"/>
    <w:rsid w:val="006904A6"/>
    <w:rsid w:val="00691A0B"/>
    <w:rsid w:val="00691E64"/>
    <w:rsid w:val="0069370A"/>
    <w:rsid w:val="00695ADC"/>
    <w:rsid w:val="006A19A7"/>
    <w:rsid w:val="006B11CA"/>
    <w:rsid w:val="006B44FC"/>
    <w:rsid w:val="006B454C"/>
    <w:rsid w:val="006B76B5"/>
    <w:rsid w:val="006C3DFD"/>
    <w:rsid w:val="006C46AB"/>
    <w:rsid w:val="006D0F7F"/>
    <w:rsid w:val="006E03A3"/>
    <w:rsid w:val="006E70E1"/>
    <w:rsid w:val="006E7C23"/>
    <w:rsid w:val="006F0BAF"/>
    <w:rsid w:val="006F1C78"/>
    <w:rsid w:val="006F1E9F"/>
    <w:rsid w:val="006F4523"/>
    <w:rsid w:val="006F7354"/>
    <w:rsid w:val="00702729"/>
    <w:rsid w:val="00702D56"/>
    <w:rsid w:val="0070376D"/>
    <w:rsid w:val="00703CB7"/>
    <w:rsid w:val="00706F6D"/>
    <w:rsid w:val="00710F20"/>
    <w:rsid w:val="00717192"/>
    <w:rsid w:val="00717EF2"/>
    <w:rsid w:val="007205EC"/>
    <w:rsid w:val="00723D9B"/>
    <w:rsid w:val="00731E09"/>
    <w:rsid w:val="0073381F"/>
    <w:rsid w:val="00734280"/>
    <w:rsid w:val="00736673"/>
    <w:rsid w:val="00737A6F"/>
    <w:rsid w:val="00742C34"/>
    <w:rsid w:val="00746C06"/>
    <w:rsid w:val="00752E96"/>
    <w:rsid w:val="00760D85"/>
    <w:rsid w:val="0076492B"/>
    <w:rsid w:val="00774472"/>
    <w:rsid w:val="00776F07"/>
    <w:rsid w:val="00780EBC"/>
    <w:rsid w:val="00782DC7"/>
    <w:rsid w:val="007949A2"/>
    <w:rsid w:val="00794F07"/>
    <w:rsid w:val="0079761A"/>
    <w:rsid w:val="007979BC"/>
    <w:rsid w:val="007A4217"/>
    <w:rsid w:val="007A4464"/>
    <w:rsid w:val="007A5A17"/>
    <w:rsid w:val="007A783D"/>
    <w:rsid w:val="007B2FB7"/>
    <w:rsid w:val="007B516D"/>
    <w:rsid w:val="007C11DB"/>
    <w:rsid w:val="007C31BD"/>
    <w:rsid w:val="007C47D7"/>
    <w:rsid w:val="007E1BE1"/>
    <w:rsid w:val="007F09C8"/>
    <w:rsid w:val="008233BF"/>
    <w:rsid w:val="00831FDF"/>
    <w:rsid w:val="00837215"/>
    <w:rsid w:val="0084629F"/>
    <w:rsid w:val="00851320"/>
    <w:rsid w:val="00853083"/>
    <w:rsid w:val="008616BF"/>
    <w:rsid w:val="008648FC"/>
    <w:rsid w:val="00870E57"/>
    <w:rsid w:val="00870E8C"/>
    <w:rsid w:val="008853E7"/>
    <w:rsid w:val="00891898"/>
    <w:rsid w:val="00893B41"/>
    <w:rsid w:val="00895AA1"/>
    <w:rsid w:val="008B1F0F"/>
    <w:rsid w:val="008B6644"/>
    <w:rsid w:val="008B6E1F"/>
    <w:rsid w:val="008C5193"/>
    <w:rsid w:val="008D27A4"/>
    <w:rsid w:val="008D2F90"/>
    <w:rsid w:val="008D3370"/>
    <w:rsid w:val="008D4427"/>
    <w:rsid w:val="008D5177"/>
    <w:rsid w:val="008D628B"/>
    <w:rsid w:val="008E743F"/>
    <w:rsid w:val="00901CB8"/>
    <w:rsid w:val="0090369C"/>
    <w:rsid w:val="009036AA"/>
    <w:rsid w:val="009052B9"/>
    <w:rsid w:val="00905B10"/>
    <w:rsid w:val="00907073"/>
    <w:rsid w:val="00907448"/>
    <w:rsid w:val="00907A5C"/>
    <w:rsid w:val="009235E9"/>
    <w:rsid w:val="00924425"/>
    <w:rsid w:val="00927673"/>
    <w:rsid w:val="00927D56"/>
    <w:rsid w:val="00933584"/>
    <w:rsid w:val="009376EA"/>
    <w:rsid w:val="00937E3D"/>
    <w:rsid w:val="00950C5D"/>
    <w:rsid w:val="009551B8"/>
    <w:rsid w:val="00976860"/>
    <w:rsid w:val="00997269"/>
    <w:rsid w:val="009A6302"/>
    <w:rsid w:val="009B425E"/>
    <w:rsid w:val="009B4CB6"/>
    <w:rsid w:val="009C02EA"/>
    <w:rsid w:val="009C10D7"/>
    <w:rsid w:val="009C16E5"/>
    <w:rsid w:val="009C6CFC"/>
    <w:rsid w:val="009D0D62"/>
    <w:rsid w:val="009D282E"/>
    <w:rsid w:val="009E1B11"/>
    <w:rsid w:val="009F4D98"/>
    <w:rsid w:val="00A02301"/>
    <w:rsid w:val="00A0494D"/>
    <w:rsid w:val="00A06608"/>
    <w:rsid w:val="00A16D76"/>
    <w:rsid w:val="00A17635"/>
    <w:rsid w:val="00A2196B"/>
    <w:rsid w:val="00A2237A"/>
    <w:rsid w:val="00A30FC8"/>
    <w:rsid w:val="00A31560"/>
    <w:rsid w:val="00A32D8B"/>
    <w:rsid w:val="00A34B5B"/>
    <w:rsid w:val="00A37321"/>
    <w:rsid w:val="00A40240"/>
    <w:rsid w:val="00A41376"/>
    <w:rsid w:val="00A423A0"/>
    <w:rsid w:val="00A530B5"/>
    <w:rsid w:val="00A6169E"/>
    <w:rsid w:val="00A62273"/>
    <w:rsid w:val="00A63543"/>
    <w:rsid w:val="00A673C6"/>
    <w:rsid w:val="00A70F34"/>
    <w:rsid w:val="00A80AC1"/>
    <w:rsid w:val="00A9320B"/>
    <w:rsid w:val="00AA34C6"/>
    <w:rsid w:val="00AB5096"/>
    <w:rsid w:val="00AB5A4C"/>
    <w:rsid w:val="00AB6306"/>
    <w:rsid w:val="00AC18E5"/>
    <w:rsid w:val="00AC3E20"/>
    <w:rsid w:val="00AC3F15"/>
    <w:rsid w:val="00AC61BC"/>
    <w:rsid w:val="00AD17C0"/>
    <w:rsid w:val="00AD42C8"/>
    <w:rsid w:val="00AD53C5"/>
    <w:rsid w:val="00AD6A40"/>
    <w:rsid w:val="00B20256"/>
    <w:rsid w:val="00B20FD7"/>
    <w:rsid w:val="00B2100B"/>
    <w:rsid w:val="00B22B7A"/>
    <w:rsid w:val="00B24667"/>
    <w:rsid w:val="00B347AA"/>
    <w:rsid w:val="00B4711F"/>
    <w:rsid w:val="00B519E8"/>
    <w:rsid w:val="00B52885"/>
    <w:rsid w:val="00B56B56"/>
    <w:rsid w:val="00B5748D"/>
    <w:rsid w:val="00B6660A"/>
    <w:rsid w:val="00B67808"/>
    <w:rsid w:val="00B67F44"/>
    <w:rsid w:val="00B81022"/>
    <w:rsid w:val="00B836C0"/>
    <w:rsid w:val="00B90C46"/>
    <w:rsid w:val="00B91553"/>
    <w:rsid w:val="00B91CB8"/>
    <w:rsid w:val="00B938FE"/>
    <w:rsid w:val="00BA4E6A"/>
    <w:rsid w:val="00BA7B5A"/>
    <w:rsid w:val="00BB1914"/>
    <w:rsid w:val="00BB47D8"/>
    <w:rsid w:val="00BC5F3E"/>
    <w:rsid w:val="00BC62F4"/>
    <w:rsid w:val="00BC7949"/>
    <w:rsid w:val="00BF1182"/>
    <w:rsid w:val="00BF5FC7"/>
    <w:rsid w:val="00C06C94"/>
    <w:rsid w:val="00C0785E"/>
    <w:rsid w:val="00C10418"/>
    <w:rsid w:val="00C1429D"/>
    <w:rsid w:val="00C1525D"/>
    <w:rsid w:val="00C176B1"/>
    <w:rsid w:val="00C27A00"/>
    <w:rsid w:val="00C27C65"/>
    <w:rsid w:val="00C416E5"/>
    <w:rsid w:val="00C465E2"/>
    <w:rsid w:val="00C47C59"/>
    <w:rsid w:val="00C51620"/>
    <w:rsid w:val="00C567A0"/>
    <w:rsid w:val="00C60731"/>
    <w:rsid w:val="00C6145A"/>
    <w:rsid w:val="00C638FF"/>
    <w:rsid w:val="00C71598"/>
    <w:rsid w:val="00C75D08"/>
    <w:rsid w:val="00C7604B"/>
    <w:rsid w:val="00C84EA6"/>
    <w:rsid w:val="00C86055"/>
    <w:rsid w:val="00C905F2"/>
    <w:rsid w:val="00CA7EFD"/>
    <w:rsid w:val="00CB76F4"/>
    <w:rsid w:val="00CC2769"/>
    <w:rsid w:val="00CC6C02"/>
    <w:rsid w:val="00CE45E9"/>
    <w:rsid w:val="00CE6E6A"/>
    <w:rsid w:val="00CF301D"/>
    <w:rsid w:val="00CF40BF"/>
    <w:rsid w:val="00CF4523"/>
    <w:rsid w:val="00D12E1A"/>
    <w:rsid w:val="00D15336"/>
    <w:rsid w:val="00D31F44"/>
    <w:rsid w:val="00D36E63"/>
    <w:rsid w:val="00D45EE9"/>
    <w:rsid w:val="00D54F56"/>
    <w:rsid w:val="00D6505D"/>
    <w:rsid w:val="00D65167"/>
    <w:rsid w:val="00D7137E"/>
    <w:rsid w:val="00D766BF"/>
    <w:rsid w:val="00D920DC"/>
    <w:rsid w:val="00D9498B"/>
    <w:rsid w:val="00DA3CB0"/>
    <w:rsid w:val="00DA570D"/>
    <w:rsid w:val="00DA6E4B"/>
    <w:rsid w:val="00DB279D"/>
    <w:rsid w:val="00DB48CA"/>
    <w:rsid w:val="00DB6E6B"/>
    <w:rsid w:val="00DD2452"/>
    <w:rsid w:val="00DD7420"/>
    <w:rsid w:val="00DE030A"/>
    <w:rsid w:val="00DE1A10"/>
    <w:rsid w:val="00DF1BD7"/>
    <w:rsid w:val="00E011C9"/>
    <w:rsid w:val="00E01F97"/>
    <w:rsid w:val="00E106F8"/>
    <w:rsid w:val="00E1160A"/>
    <w:rsid w:val="00E14FFB"/>
    <w:rsid w:val="00E17130"/>
    <w:rsid w:val="00E23C41"/>
    <w:rsid w:val="00E304A2"/>
    <w:rsid w:val="00E35FF2"/>
    <w:rsid w:val="00E423A8"/>
    <w:rsid w:val="00E46D5B"/>
    <w:rsid w:val="00E476BD"/>
    <w:rsid w:val="00E508A4"/>
    <w:rsid w:val="00E5340F"/>
    <w:rsid w:val="00E62F75"/>
    <w:rsid w:val="00E66B6C"/>
    <w:rsid w:val="00E77476"/>
    <w:rsid w:val="00E80EB0"/>
    <w:rsid w:val="00E81B53"/>
    <w:rsid w:val="00E836F9"/>
    <w:rsid w:val="00E87A37"/>
    <w:rsid w:val="00E904F3"/>
    <w:rsid w:val="00EA13DA"/>
    <w:rsid w:val="00EA1852"/>
    <w:rsid w:val="00EA6A7C"/>
    <w:rsid w:val="00EB26A2"/>
    <w:rsid w:val="00EB4C74"/>
    <w:rsid w:val="00EC2493"/>
    <w:rsid w:val="00EC6E0D"/>
    <w:rsid w:val="00ED1D51"/>
    <w:rsid w:val="00EE2454"/>
    <w:rsid w:val="00EF1E60"/>
    <w:rsid w:val="00EF3292"/>
    <w:rsid w:val="00EF63E1"/>
    <w:rsid w:val="00EF6AD4"/>
    <w:rsid w:val="00F01887"/>
    <w:rsid w:val="00F0688B"/>
    <w:rsid w:val="00F17E67"/>
    <w:rsid w:val="00F22D45"/>
    <w:rsid w:val="00F3695B"/>
    <w:rsid w:val="00F40198"/>
    <w:rsid w:val="00F47AAE"/>
    <w:rsid w:val="00F50D9E"/>
    <w:rsid w:val="00F70466"/>
    <w:rsid w:val="00F72B03"/>
    <w:rsid w:val="00F82EC1"/>
    <w:rsid w:val="00F9373F"/>
    <w:rsid w:val="00FA0E1A"/>
    <w:rsid w:val="00FA231B"/>
    <w:rsid w:val="00FB2C25"/>
    <w:rsid w:val="00FC70BA"/>
    <w:rsid w:val="00FC7600"/>
    <w:rsid w:val="00FD31FD"/>
    <w:rsid w:val="00FD3DD2"/>
    <w:rsid w:val="00FE0E2B"/>
    <w:rsid w:val="00FE21ED"/>
    <w:rsid w:val="00FE2DB2"/>
    <w:rsid w:val="00FE6383"/>
    <w:rsid w:val="00FF3630"/>
    <w:rsid w:val="00FF45C0"/>
    <w:rsid w:val="00FF5611"/>
    <w:rsid w:val="00FF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7BB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00417"/>
    <w:pPr>
      <w:numPr>
        <w:numId w:val="1"/>
      </w:numPr>
    </w:pPr>
  </w:style>
  <w:style w:type="character" w:styleId="Hyperlink">
    <w:name w:val="Hyperlink"/>
    <w:basedOn w:val="DefaultParagraphFont"/>
    <w:uiPriority w:val="99"/>
    <w:unhideWhenUsed/>
    <w:rsid w:val="003123FC"/>
    <w:rPr>
      <w:color w:val="0000FF" w:themeColor="hyperlink"/>
      <w:u w:val="single"/>
    </w:rPr>
  </w:style>
  <w:style w:type="paragraph" w:styleId="BalloonText">
    <w:name w:val="Balloon Text"/>
    <w:basedOn w:val="Normal"/>
    <w:link w:val="BalloonTextChar"/>
    <w:uiPriority w:val="99"/>
    <w:semiHidden/>
    <w:unhideWhenUsed/>
    <w:rsid w:val="00312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3FC"/>
    <w:rPr>
      <w:rFonts w:ascii="Lucida Grande" w:hAnsi="Lucida Grande" w:cs="Lucida Grande"/>
      <w:sz w:val="18"/>
      <w:szCs w:val="18"/>
      <w:lang w:val="en-GB"/>
    </w:rPr>
  </w:style>
  <w:style w:type="table" w:styleId="TableGrid">
    <w:name w:val="Table Grid"/>
    <w:basedOn w:val="TableNormal"/>
    <w:uiPriority w:val="59"/>
    <w:rsid w:val="00A1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5EE9"/>
    <w:pPr>
      <w:spacing w:before="100" w:beforeAutospacing="1" w:after="100" w:afterAutospacing="1"/>
    </w:pPr>
    <w:rPr>
      <w:rFonts w:ascii="Times New Roman" w:eastAsia="Times New Roman" w:hAnsi="Times New Roman" w:cs="Times New Roman"/>
      <w:lang w:val="en-US"/>
    </w:rPr>
  </w:style>
  <w:style w:type="paragraph" w:styleId="Footer">
    <w:name w:val="footer"/>
    <w:basedOn w:val="Normal"/>
    <w:link w:val="FooterChar"/>
    <w:uiPriority w:val="99"/>
    <w:unhideWhenUsed/>
    <w:rsid w:val="00A70F34"/>
    <w:pPr>
      <w:tabs>
        <w:tab w:val="center" w:pos="4320"/>
        <w:tab w:val="right" w:pos="8640"/>
      </w:tabs>
    </w:pPr>
  </w:style>
  <w:style w:type="character" w:customStyle="1" w:styleId="FooterChar">
    <w:name w:val="Footer Char"/>
    <w:basedOn w:val="DefaultParagraphFont"/>
    <w:link w:val="Footer"/>
    <w:uiPriority w:val="99"/>
    <w:rsid w:val="00A70F34"/>
    <w:rPr>
      <w:lang w:val="en-GB"/>
    </w:rPr>
  </w:style>
  <w:style w:type="character" w:styleId="PageNumber">
    <w:name w:val="page number"/>
    <w:basedOn w:val="DefaultParagraphFont"/>
    <w:uiPriority w:val="99"/>
    <w:semiHidden/>
    <w:unhideWhenUsed/>
    <w:rsid w:val="00A70F34"/>
  </w:style>
  <w:style w:type="paragraph" w:styleId="ListParagraph">
    <w:name w:val="List Paragraph"/>
    <w:basedOn w:val="Normal"/>
    <w:uiPriority w:val="34"/>
    <w:qFormat/>
    <w:rsid w:val="006146C4"/>
    <w:pPr>
      <w:ind w:left="720"/>
      <w:contextualSpacing/>
    </w:pPr>
  </w:style>
  <w:style w:type="character" w:styleId="CommentReference">
    <w:name w:val="annotation reference"/>
    <w:basedOn w:val="DefaultParagraphFont"/>
    <w:uiPriority w:val="99"/>
    <w:semiHidden/>
    <w:unhideWhenUsed/>
    <w:rsid w:val="00780EBC"/>
    <w:rPr>
      <w:sz w:val="18"/>
      <w:szCs w:val="18"/>
    </w:rPr>
  </w:style>
  <w:style w:type="paragraph" w:styleId="CommentText">
    <w:name w:val="annotation text"/>
    <w:basedOn w:val="Normal"/>
    <w:link w:val="CommentTextChar"/>
    <w:uiPriority w:val="99"/>
    <w:semiHidden/>
    <w:unhideWhenUsed/>
    <w:rsid w:val="00780EBC"/>
  </w:style>
  <w:style w:type="character" w:customStyle="1" w:styleId="CommentTextChar">
    <w:name w:val="Comment Text Char"/>
    <w:basedOn w:val="DefaultParagraphFont"/>
    <w:link w:val="CommentText"/>
    <w:uiPriority w:val="99"/>
    <w:semiHidden/>
    <w:rsid w:val="00780EBC"/>
    <w:rPr>
      <w:lang w:val="en-GB"/>
    </w:rPr>
  </w:style>
  <w:style w:type="paragraph" w:styleId="CommentSubject">
    <w:name w:val="annotation subject"/>
    <w:basedOn w:val="CommentText"/>
    <w:next w:val="CommentText"/>
    <w:link w:val="CommentSubjectChar"/>
    <w:uiPriority w:val="99"/>
    <w:semiHidden/>
    <w:unhideWhenUsed/>
    <w:rsid w:val="00780EBC"/>
    <w:rPr>
      <w:b/>
      <w:bCs/>
      <w:sz w:val="20"/>
      <w:szCs w:val="20"/>
    </w:rPr>
  </w:style>
  <w:style w:type="character" w:customStyle="1" w:styleId="CommentSubjectChar">
    <w:name w:val="Comment Subject Char"/>
    <w:basedOn w:val="CommentTextChar"/>
    <w:link w:val="CommentSubject"/>
    <w:uiPriority w:val="99"/>
    <w:semiHidden/>
    <w:rsid w:val="00780EBC"/>
    <w:rPr>
      <w:b/>
      <w:bCs/>
      <w:sz w:val="20"/>
      <w:szCs w:val="20"/>
      <w:lang w:val="en-GB"/>
    </w:rPr>
  </w:style>
  <w:style w:type="paragraph" w:styleId="Revision">
    <w:name w:val="Revision"/>
    <w:hidden/>
    <w:uiPriority w:val="99"/>
    <w:semiHidden/>
    <w:rsid w:val="00E17130"/>
    <w:rPr>
      <w:lang w:val="en-GB"/>
    </w:rPr>
  </w:style>
  <w:style w:type="paragraph" w:styleId="Header">
    <w:name w:val="header"/>
    <w:basedOn w:val="Normal"/>
    <w:link w:val="HeaderChar"/>
    <w:uiPriority w:val="99"/>
    <w:unhideWhenUsed/>
    <w:rsid w:val="00182075"/>
    <w:pPr>
      <w:tabs>
        <w:tab w:val="center" w:pos="4320"/>
        <w:tab w:val="right" w:pos="8640"/>
      </w:tabs>
    </w:pPr>
  </w:style>
  <w:style w:type="character" w:customStyle="1" w:styleId="HeaderChar">
    <w:name w:val="Header Char"/>
    <w:basedOn w:val="DefaultParagraphFont"/>
    <w:link w:val="Header"/>
    <w:uiPriority w:val="99"/>
    <w:rsid w:val="00182075"/>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00417"/>
    <w:pPr>
      <w:numPr>
        <w:numId w:val="1"/>
      </w:numPr>
    </w:pPr>
  </w:style>
  <w:style w:type="character" w:styleId="Hyperlink">
    <w:name w:val="Hyperlink"/>
    <w:basedOn w:val="DefaultParagraphFont"/>
    <w:uiPriority w:val="99"/>
    <w:unhideWhenUsed/>
    <w:rsid w:val="003123FC"/>
    <w:rPr>
      <w:color w:val="0000FF" w:themeColor="hyperlink"/>
      <w:u w:val="single"/>
    </w:rPr>
  </w:style>
  <w:style w:type="paragraph" w:styleId="BalloonText">
    <w:name w:val="Balloon Text"/>
    <w:basedOn w:val="Normal"/>
    <w:link w:val="BalloonTextChar"/>
    <w:uiPriority w:val="99"/>
    <w:semiHidden/>
    <w:unhideWhenUsed/>
    <w:rsid w:val="00312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3FC"/>
    <w:rPr>
      <w:rFonts w:ascii="Lucida Grande" w:hAnsi="Lucida Grande" w:cs="Lucida Grande"/>
      <w:sz w:val="18"/>
      <w:szCs w:val="18"/>
      <w:lang w:val="en-GB"/>
    </w:rPr>
  </w:style>
  <w:style w:type="table" w:styleId="TableGrid">
    <w:name w:val="Table Grid"/>
    <w:basedOn w:val="TableNormal"/>
    <w:uiPriority w:val="59"/>
    <w:rsid w:val="00A1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5EE9"/>
    <w:pPr>
      <w:spacing w:before="100" w:beforeAutospacing="1" w:after="100" w:afterAutospacing="1"/>
    </w:pPr>
    <w:rPr>
      <w:rFonts w:ascii="Times New Roman" w:eastAsia="Times New Roman" w:hAnsi="Times New Roman" w:cs="Times New Roman"/>
      <w:lang w:val="en-US"/>
    </w:rPr>
  </w:style>
  <w:style w:type="paragraph" w:styleId="Footer">
    <w:name w:val="footer"/>
    <w:basedOn w:val="Normal"/>
    <w:link w:val="FooterChar"/>
    <w:uiPriority w:val="99"/>
    <w:unhideWhenUsed/>
    <w:rsid w:val="00A70F34"/>
    <w:pPr>
      <w:tabs>
        <w:tab w:val="center" w:pos="4320"/>
        <w:tab w:val="right" w:pos="8640"/>
      </w:tabs>
    </w:pPr>
  </w:style>
  <w:style w:type="character" w:customStyle="1" w:styleId="FooterChar">
    <w:name w:val="Footer Char"/>
    <w:basedOn w:val="DefaultParagraphFont"/>
    <w:link w:val="Footer"/>
    <w:uiPriority w:val="99"/>
    <w:rsid w:val="00A70F34"/>
    <w:rPr>
      <w:lang w:val="en-GB"/>
    </w:rPr>
  </w:style>
  <w:style w:type="character" w:styleId="PageNumber">
    <w:name w:val="page number"/>
    <w:basedOn w:val="DefaultParagraphFont"/>
    <w:uiPriority w:val="99"/>
    <w:semiHidden/>
    <w:unhideWhenUsed/>
    <w:rsid w:val="00A70F34"/>
  </w:style>
  <w:style w:type="paragraph" w:styleId="ListParagraph">
    <w:name w:val="List Paragraph"/>
    <w:basedOn w:val="Normal"/>
    <w:uiPriority w:val="34"/>
    <w:qFormat/>
    <w:rsid w:val="006146C4"/>
    <w:pPr>
      <w:ind w:left="720"/>
      <w:contextualSpacing/>
    </w:pPr>
  </w:style>
  <w:style w:type="character" w:styleId="CommentReference">
    <w:name w:val="annotation reference"/>
    <w:basedOn w:val="DefaultParagraphFont"/>
    <w:uiPriority w:val="99"/>
    <w:semiHidden/>
    <w:unhideWhenUsed/>
    <w:rsid w:val="00780EBC"/>
    <w:rPr>
      <w:sz w:val="18"/>
      <w:szCs w:val="18"/>
    </w:rPr>
  </w:style>
  <w:style w:type="paragraph" w:styleId="CommentText">
    <w:name w:val="annotation text"/>
    <w:basedOn w:val="Normal"/>
    <w:link w:val="CommentTextChar"/>
    <w:uiPriority w:val="99"/>
    <w:semiHidden/>
    <w:unhideWhenUsed/>
    <w:rsid w:val="00780EBC"/>
  </w:style>
  <w:style w:type="character" w:customStyle="1" w:styleId="CommentTextChar">
    <w:name w:val="Comment Text Char"/>
    <w:basedOn w:val="DefaultParagraphFont"/>
    <w:link w:val="CommentText"/>
    <w:uiPriority w:val="99"/>
    <w:semiHidden/>
    <w:rsid w:val="00780EBC"/>
    <w:rPr>
      <w:lang w:val="en-GB"/>
    </w:rPr>
  </w:style>
  <w:style w:type="paragraph" w:styleId="CommentSubject">
    <w:name w:val="annotation subject"/>
    <w:basedOn w:val="CommentText"/>
    <w:next w:val="CommentText"/>
    <w:link w:val="CommentSubjectChar"/>
    <w:uiPriority w:val="99"/>
    <w:semiHidden/>
    <w:unhideWhenUsed/>
    <w:rsid w:val="00780EBC"/>
    <w:rPr>
      <w:b/>
      <w:bCs/>
      <w:sz w:val="20"/>
      <w:szCs w:val="20"/>
    </w:rPr>
  </w:style>
  <w:style w:type="character" w:customStyle="1" w:styleId="CommentSubjectChar">
    <w:name w:val="Comment Subject Char"/>
    <w:basedOn w:val="CommentTextChar"/>
    <w:link w:val="CommentSubject"/>
    <w:uiPriority w:val="99"/>
    <w:semiHidden/>
    <w:rsid w:val="00780EBC"/>
    <w:rPr>
      <w:b/>
      <w:bCs/>
      <w:sz w:val="20"/>
      <w:szCs w:val="20"/>
      <w:lang w:val="en-GB"/>
    </w:rPr>
  </w:style>
  <w:style w:type="paragraph" w:styleId="Revision">
    <w:name w:val="Revision"/>
    <w:hidden/>
    <w:uiPriority w:val="99"/>
    <w:semiHidden/>
    <w:rsid w:val="00E17130"/>
    <w:rPr>
      <w:lang w:val="en-GB"/>
    </w:rPr>
  </w:style>
  <w:style w:type="paragraph" w:styleId="Header">
    <w:name w:val="header"/>
    <w:basedOn w:val="Normal"/>
    <w:link w:val="HeaderChar"/>
    <w:uiPriority w:val="99"/>
    <w:unhideWhenUsed/>
    <w:rsid w:val="00182075"/>
    <w:pPr>
      <w:tabs>
        <w:tab w:val="center" w:pos="4320"/>
        <w:tab w:val="right" w:pos="8640"/>
      </w:tabs>
    </w:pPr>
  </w:style>
  <w:style w:type="character" w:customStyle="1" w:styleId="HeaderChar">
    <w:name w:val="Header Char"/>
    <w:basedOn w:val="DefaultParagraphFont"/>
    <w:link w:val="Header"/>
    <w:uiPriority w:val="99"/>
    <w:rsid w:val="001820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42504">
      <w:bodyDiv w:val="1"/>
      <w:marLeft w:val="0"/>
      <w:marRight w:val="0"/>
      <w:marTop w:val="0"/>
      <w:marBottom w:val="0"/>
      <w:divBdr>
        <w:top w:val="none" w:sz="0" w:space="0" w:color="auto"/>
        <w:left w:val="none" w:sz="0" w:space="0" w:color="auto"/>
        <w:bottom w:val="none" w:sz="0" w:space="0" w:color="auto"/>
        <w:right w:val="none" w:sz="0" w:space="0" w:color="auto"/>
      </w:divBdr>
      <w:divsChild>
        <w:div w:id="902451563">
          <w:marLeft w:val="0"/>
          <w:marRight w:val="0"/>
          <w:marTop w:val="0"/>
          <w:marBottom w:val="0"/>
          <w:divBdr>
            <w:top w:val="none" w:sz="0" w:space="0" w:color="auto"/>
            <w:left w:val="none" w:sz="0" w:space="0" w:color="auto"/>
            <w:bottom w:val="none" w:sz="0" w:space="0" w:color="auto"/>
            <w:right w:val="none" w:sz="0" w:space="0" w:color="auto"/>
          </w:divBdr>
          <w:divsChild>
            <w:div w:id="527379434">
              <w:marLeft w:val="0"/>
              <w:marRight w:val="0"/>
              <w:marTop w:val="0"/>
              <w:marBottom w:val="0"/>
              <w:divBdr>
                <w:top w:val="none" w:sz="0" w:space="0" w:color="auto"/>
                <w:left w:val="none" w:sz="0" w:space="0" w:color="auto"/>
                <w:bottom w:val="none" w:sz="0" w:space="0" w:color="auto"/>
                <w:right w:val="none" w:sz="0" w:space="0" w:color="auto"/>
              </w:divBdr>
              <w:divsChild>
                <w:div w:id="4270480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68441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p.kelly@qmul.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7957</Words>
  <Characters>45355</Characters>
  <Application>Microsoft Macintosh Word</Application>
  <DocSecurity>0</DocSecurity>
  <Lines>377</Lines>
  <Paragraphs>106</Paragraphs>
  <ScaleCrop>false</ScaleCrop>
  <Company>QMUL</Company>
  <LinksUpToDate>false</LinksUpToDate>
  <CharactersWithSpaces>53206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Kelly</dc:creator>
  <cp:keywords/>
  <dc:description/>
  <cp:lastModifiedBy>Paul Kelly</cp:lastModifiedBy>
  <cp:revision>5</cp:revision>
  <cp:lastPrinted>2015-08-26T05:22:00Z</cp:lastPrinted>
  <dcterms:created xsi:type="dcterms:W3CDTF">2016-03-05T17:57:00Z</dcterms:created>
  <dcterms:modified xsi:type="dcterms:W3CDTF">2016-03-09T22:30:00Z</dcterms:modified>
</cp:coreProperties>
</file>